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DDEF6" w14:textId="77777777" w:rsidR="00895B32" w:rsidRDefault="00000000">
      <w:pPr>
        <w:pStyle w:val="Title"/>
        <w:jc w:val="center"/>
      </w:pPr>
      <w:bookmarkStart w:id="0" w:name="_nbjqthbc53zo" w:colFirst="0" w:colLast="0"/>
      <w:bookmarkEnd w:id="0"/>
      <w:r>
        <w:t>CSER Consortium Shared Dataset Documentation</w:t>
      </w:r>
    </w:p>
    <w:p w14:paraId="199F45D5" w14:textId="77777777" w:rsidR="00895B32" w:rsidRDefault="00895B32"/>
    <w:p w14:paraId="0E46B447" w14:textId="77777777" w:rsidR="00895B32" w:rsidRDefault="00000000">
      <w:pPr>
        <w:pStyle w:val="Subtitle"/>
        <w:jc w:val="center"/>
      </w:pPr>
      <w:bookmarkStart w:id="1" w:name="_pd6olbdbjg5c" w:colFirst="0" w:colLast="0"/>
      <w:bookmarkEnd w:id="1"/>
      <w:r>
        <w:t>CSER Data Coordinating Center (DCC)</w:t>
      </w:r>
    </w:p>
    <w:p w14:paraId="497ECE9A" w14:textId="77777777" w:rsidR="00895B32" w:rsidRDefault="00000000">
      <w:pPr>
        <w:pStyle w:val="Subtitle"/>
        <w:jc w:val="center"/>
      </w:pPr>
      <w:bookmarkStart w:id="2" w:name="_j7ss3v9h62gm" w:colFirst="0" w:colLast="0"/>
      <w:bookmarkEnd w:id="2"/>
      <w:r>
        <w:t>Last Updated: July 11th, 2023</w:t>
      </w:r>
    </w:p>
    <w:p w14:paraId="20C8B660" w14:textId="77777777" w:rsidR="00895B32" w:rsidRDefault="00895B32" w:rsidP="00530F9F">
      <w:pPr>
        <w:rPr>
          <w:color w:val="666666"/>
        </w:rPr>
      </w:pPr>
    </w:p>
    <w:p w14:paraId="4F093ED7" w14:textId="77777777" w:rsidR="00895B32" w:rsidRDefault="00000000">
      <w:pPr>
        <w:pStyle w:val="Heading1"/>
      </w:pPr>
      <w:bookmarkStart w:id="3" w:name="_yp35a0jkyvvp" w:colFirst="0" w:colLast="0"/>
      <w:bookmarkEnd w:id="3"/>
      <w:r>
        <w:t>Table of Contents</w:t>
      </w:r>
    </w:p>
    <w:p w14:paraId="30BCA043" w14:textId="77777777" w:rsidR="00895B32" w:rsidRDefault="00895B32"/>
    <w:sdt>
      <w:sdtPr>
        <w:id w:val="-1566182686"/>
        <w:docPartObj>
          <w:docPartGallery w:val="Table of Contents"/>
          <w:docPartUnique/>
        </w:docPartObj>
      </w:sdtPr>
      <w:sdtContent>
        <w:p w14:paraId="4F5D023B" w14:textId="77777777" w:rsidR="00895B32" w:rsidRDefault="00000000">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yp35a0jkyvvp">
            <w:r>
              <w:rPr>
                <w:color w:val="000000"/>
              </w:rPr>
              <w:t>Table of Contents</w:t>
            </w:r>
            <w:r>
              <w:rPr>
                <w:color w:val="000000"/>
              </w:rPr>
              <w:tab/>
              <w:t>1</w:t>
            </w:r>
          </w:hyperlink>
        </w:p>
        <w:p w14:paraId="3E2B6DBF" w14:textId="77777777" w:rsidR="00895B32" w:rsidRDefault="00000000">
          <w:pPr>
            <w:widowControl w:val="0"/>
            <w:tabs>
              <w:tab w:val="right" w:leader="dot" w:pos="12000"/>
            </w:tabs>
            <w:spacing w:before="60" w:line="240" w:lineRule="auto"/>
            <w:rPr>
              <w:b/>
              <w:color w:val="000000"/>
            </w:rPr>
          </w:pPr>
          <w:hyperlink w:anchor="_fzy14m64ok2n">
            <w:r>
              <w:rPr>
                <w:color w:val="000000"/>
              </w:rPr>
              <w:t>CSER site descriptions</w:t>
            </w:r>
            <w:r>
              <w:rPr>
                <w:color w:val="000000"/>
              </w:rPr>
              <w:tab/>
              <w:t>2</w:t>
            </w:r>
          </w:hyperlink>
        </w:p>
        <w:p w14:paraId="231E09D6" w14:textId="77777777" w:rsidR="00895B32" w:rsidRDefault="00000000">
          <w:pPr>
            <w:widowControl w:val="0"/>
            <w:tabs>
              <w:tab w:val="right" w:leader="dot" w:pos="12000"/>
            </w:tabs>
            <w:spacing w:before="60" w:line="240" w:lineRule="auto"/>
            <w:rPr>
              <w:b/>
              <w:color w:val="000000"/>
            </w:rPr>
          </w:pPr>
          <w:hyperlink w:anchor="_4r6f79muv86o">
            <w:r>
              <w:rPr>
                <w:color w:val="000000"/>
              </w:rPr>
              <w:t>Shared dataset descriptions</w:t>
            </w:r>
            <w:r>
              <w:rPr>
                <w:color w:val="000000"/>
              </w:rPr>
              <w:tab/>
              <w:t>3</w:t>
            </w:r>
          </w:hyperlink>
        </w:p>
        <w:p w14:paraId="526C1B3A" w14:textId="77777777" w:rsidR="00895B32" w:rsidRDefault="00000000">
          <w:pPr>
            <w:widowControl w:val="0"/>
            <w:tabs>
              <w:tab w:val="right" w:leader="dot" w:pos="12000"/>
            </w:tabs>
            <w:spacing w:before="60" w:line="240" w:lineRule="auto"/>
            <w:rPr>
              <w:b/>
              <w:color w:val="000000"/>
            </w:rPr>
          </w:pPr>
          <w:hyperlink w:anchor="_i77b0wsxh1av">
            <w:r>
              <w:rPr>
                <w:color w:val="000000"/>
              </w:rPr>
              <w:t>Data Access</w:t>
            </w:r>
            <w:r>
              <w:rPr>
                <w:color w:val="000000"/>
              </w:rPr>
              <w:tab/>
              <w:t>4</w:t>
            </w:r>
          </w:hyperlink>
        </w:p>
        <w:p w14:paraId="185D5AA9" w14:textId="77777777" w:rsidR="00895B32" w:rsidRDefault="00000000">
          <w:pPr>
            <w:widowControl w:val="0"/>
            <w:tabs>
              <w:tab w:val="right" w:leader="dot" w:pos="12000"/>
            </w:tabs>
            <w:spacing w:before="60" w:line="240" w:lineRule="auto"/>
            <w:ind w:left="360"/>
            <w:rPr>
              <w:color w:val="000000"/>
            </w:rPr>
          </w:pPr>
          <w:hyperlink w:anchor="_ii8857j2za7k">
            <w:r>
              <w:rPr>
                <w:color w:val="000000"/>
              </w:rPr>
              <w:t>How to obtain data access in AnVIL for CSER and beyond</w:t>
            </w:r>
            <w:r>
              <w:rPr>
                <w:color w:val="000000"/>
              </w:rPr>
              <w:tab/>
              <w:t>4</w:t>
            </w:r>
          </w:hyperlink>
        </w:p>
        <w:p w14:paraId="506BD006" w14:textId="77777777" w:rsidR="00895B32" w:rsidRDefault="00000000">
          <w:pPr>
            <w:widowControl w:val="0"/>
            <w:tabs>
              <w:tab w:val="right" w:leader="dot" w:pos="12000"/>
            </w:tabs>
            <w:spacing w:before="60" w:line="240" w:lineRule="auto"/>
            <w:ind w:left="360"/>
            <w:rPr>
              <w:color w:val="000000"/>
            </w:rPr>
          </w:pPr>
          <w:hyperlink w:anchor="_7vnifpu9h79o">
            <w:r>
              <w:rPr>
                <w:color w:val="000000"/>
              </w:rPr>
              <w:t>How to search dbGAP for CSER data sets</w:t>
            </w:r>
            <w:r>
              <w:rPr>
                <w:color w:val="000000"/>
              </w:rPr>
              <w:tab/>
              <w:t>4</w:t>
            </w:r>
          </w:hyperlink>
        </w:p>
        <w:p w14:paraId="53184CB9" w14:textId="77777777" w:rsidR="00895B32" w:rsidRDefault="00000000">
          <w:pPr>
            <w:widowControl w:val="0"/>
            <w:tabs>
              <w:tab w:val="right" w:leader="dot" w:pos="12000"/>
            </w:tabs>
            <w:spacing w:before="60" w:line="240" w:lineRule="auto"/>
            <w:ind w:left="360"/>
            <w:rPr>
              <w:color w:val="000000"/>
            </w:rPr>
          </w:pPr>
          <w:hyperlink w:anchor="_izyqvb2vn8aw">
            <w:r>
              <w:rPr>
                <w:color w:val="000000"/>
              </w:rPr>
              <w:t>Accessing CSER data in AnVIL</w:t>
            </w:r>
            <w:r>
              <w:rPr>
                <w:color w:val="000000"/>
              </w:rPr>
              <w:tab/>
              <w:t>6</w:t>
            </w:r>
          </w:hyperlink>
        </w:p>
        <w:p w14:paraId="6644272D" w14:textId="77777777" w:rsidR="00895B32" w:rsidRDefault="00000000">
          <w:pPr>
            <w:widowControl w:val="0"/>
            <w:tabs>
              <w:tab w:val="right" w:leader="dot" w:pos="12000"/>
            </w:tabs>
            <w:spacing w:before="60" w:line="240" w:lineRule="auto"/>
            <w:rPr>
              <w:b/>
              <w:color w:val="000000"/>
            </w:rPr>
          </w:pPr>
          <w:hyperlink w:anchor="_jilyp0fjn2pn">
            <w:r>
              <w:rPr>
                <w:color w:val="000000"/>
              </w:rPr>
              <w:t>Race/ethnicity in the Harmonized Measures, QPR, and Sequence Metadata</w:t>
            </w:r>
            <w:r>
              <w:rPr>
                <w:color w:val="000000"/>
              </w:rPr>
              <w:tab/>
              <w:t>8</w:t>
            </w:r>
          </w:hyperlink>
        </w:p>
        <w:p w14:paraId="5F9FDE9C" w14:textId="77777777" w:rsidR="00895B32" w:rsidRDefault="00000000">
          <w:pPr>
            <w:widowControl w:val="0"/>
            <w:tabs>
              <w:tab w:val="right" w:leader="dot" w:pos="12000"/>
            </w:tabs>
            <w:spacing w:before="60" w:line="240" w:lineRule="auto"/>
            <w:rPr>
              <w:b/>
              <w:color w:val="000000"/>
            </w:rPr>
          </w:pPr>
          <w:hyperlink w:anchor="_hb8xv4xlve7t">
            <w:r>
              <w:rPr>
                <w:color w:val="000000"/>
              </w:rPr>
              <w:t>Harmonized Measures</w:t>
            </w:r>
            <w:r>
              <w:rPr>
                <w:color w:val="000000"/>
              </w:rPr>
              <w:tab/>
              <w:t>14</w:t>
            </w:r>
          </w:hyperlink>
        </w:p>
        <w:p w14:paraId="132BEAC7" w14:textId="77777777" w:rsidR="00895B32" w:rsidRDefault="00000000">
          <w:pPr>
            <w:widowControl w:val="0"/>
            <w:tabs>
              <w:tab w:val="right" w:leader="dot" w:pos="12000"/>
            </w:tabs>
            <w:spacing w:before="60" w:line="240" w:lineRule="auto"/>
            <w:ind w:left="360"/>
            <w:rPr>
              <w:color w:val="000000"/>
            </w:rPr>
          </w:pPr>
          <w:hyperlink w:anchor="_g6ww8lsg1bhj">
            <w:r>
              <w:rPr>
                <w:color w:val="000000"/>
              </w:rPr>
              <w:t>Site-Level consent procedures</w:t>
            </w:r>
            <w:r>
              <w:rPr>
                <w:color w:val="000000"/>
              </w:rPr>
              <w:tab/>
              <w:t>14</w:t>
            </w:r>
          </w:hyperlink>
        </w:p>
        <w:p w14:paraId="16DAA18C" w14:textId="77777777" w:rsidR="00895B32" w:rsidRDefault="00000000">
          <w:pPr>
            <w:widowControl w:val="0"/>
            <w:tabs>
              <w:tab w:val="right" w:leader="dot" w:pos="12000"/>
            </w:tabs>
            <w:spacing w:before="60" w:line="240" w:lineRule="auto"/>
            <w:ind w:left="360"/>
            <w:rPr>
              <w:color w:val="000000"/>
            </w:rPr>
          </w:pPr>
          <w:hyperlink w:anchor="_ejwne8cxfoi">
            <w:r>
              <w:rPr>
                <w:color w:val="000000"/>
              </w:rPr>
              <w:t>Site-level measure adaptations</w:t>
            </w:r>
            <w:r>
              <w:rPr>
                <w:color w:val="000000"/>
              </w:rPr>
              <w:tab/>
              <w:t>16</w:t>
            </w:r>
          </w:hyperlink>
        </w:p>
        <w:p w14:paraId="5C7435C0" w14:textId="77777777" w:rsidR="00895B32" w:rsidRDefault="00000000">
          <w:pPr>
            <w:widowControl w:val="0"/>
            <w:tabs>
              <w:tab w:val="right" w:leader="dot" w:pos="12000"/>
            </w:tabs>
            <w:spacing w:before="60" w:line="240" w:lineRule="auto"/>
            <w:ind w:left="360"/>
            <w:rPr>
              <w:color w:val="000000"/>
            </w:rPr>
          </w:pPr>
          <w:hyperlink w:anchor="_k60abz88321d">
            <w:r>
              <w:rPr>
                <w:color w:val="000000"/>
              </w:rPr>
              <w:t>Site-level survey administration protocols</w:t>
            </w:r>
            <w:r>
              <w:rPr>
                <w:color w:val="000000"/>
              </w:rPr>
              <w:tab/>
              <w:t>16</w:t>
            </w:r>
          </w:hyperlink>
        </w:p>
        <w:p w14:paraId="713EE1EF" w14:textId="77777777" w:rsidR="00895B32" w:rsidRDefault="00000000">
          <w:pPr>
            <w:widowControl w:val="0"/>
            <w:tabs>
              <w:tab w:val="right" w:leader="dot" w:pos="12000"/>
            </w:tabs>
            <w:spacing w:before="60" w:line="240" w:lineRule="auto"/>
            <w:ind w:left="360"/>
            <w:rPr>
              <w:color w:val="000000"/>
            </w:rPr>
          </w:pPr>
          <w:hyperlink w:anchor="_pfuutbuqyl79">
            <w:r>
              <w:rPr>
                <w:color w:val="000000"/>
              </w:rPr>
              <w:t>Site-level survey QC procedures</w:t>
            </w:r>
            <w:r>
              <w:rPr>
                <w:color w:val="000000"/>
              </w:rPr>
              <w:tab/>
              <w:t>17</w:t>
            </w:r>
          </w:hyperlink>
        </w:p>
        <w:p w14:paraId="146E9034" w14:textId="77777777" w:rsidR="00895B32" w:rsidRDefault="00000000">
          <w:pPr>
            <w:widowControl w:val="0"/>
            <w:tabs>
              <w:tab w:val="right" w:leader="dot" w:pos="12000"/>
            </w:tabs>
            <w:spacing w:before="60" w:line="240" w:lineRule="auto"/>
            <w:ind w:left="360"/>
            <w:rPr>
              <w:color w:val="000000"/>
            </w:rPr>
          </w:pPr>
          <w:hyperlink w:anchor="_105kfnoqya67">
            <w:r>
              <w:rPr>
                <w:color w:val="000000"/>
              </w:rPr>
              <w:t>Site-level survey administration timelines</w:t>
            </w:r>
            <w:r>
              <w:rPr>
                <w:color w:val="000000"/>
              </w:rPr>
              <w:tab/>
              <w:t>19</w:t>
            </w:r>
          </w:hyperlink>
        </w:p>
        <w:p w14:paraId="709ED076" w14:textId="77777777" w:rsidR="00895B32" w:rsidRDefault="00000000">
          <w:pPr>
            <w:widowControl w:val="0"/>
            <w:tabs>
              <w:tab w:val="right" w:leader="dot" w:pos="12000"/>
            </w:tabs>
            <w:spacing w:before="60" w:line="240" w:lineRule="auto"/>
            <w:ind w:left="360"/>
            <w:rPr>
              <w:color w:val="000000"/>
            </w:rPr>
          </w:pPr>
          <w:hyperlink w:anchor="_28t6wg8bj4oq">
            <w:r>
              <w:rPr>
                <w:color w:val="000000"/>
              </w:rPr>
              <w:t>Harmonized Measure FAQs</w:t>
            </w:r>
            <w:r>
              <w:rPr>
                <w:color w:val="000000"/>
              </w:rPr>
              <w:tab/>
              <w:t>19</w:t>
            </w:r>
          </w:hyperlink>
        </w:p>
        <w:p w14:paraId="17B03A34" w14:textId="77777777" w:rsidR="00895B32" w:rsidRDefault="00000000">
          <w:pPr>
            <w:widowControl w:val="0"/>
            <w:tabs>
              <w:tab w:val="right" w:leader="dot" w:pos="12000"/>
            </w:tabs>
            <w:spacing w:before="60" w:line="240" w:lineRule="auto"/>
            <w:ind w:left="720"/>
            <w:rPr>
              <w:color w:val="000000"/>
            </w:rPr>
          </w:pPr>
          <w:hyperlink w:anchor="_or94hoerbxtb">
            <w:r>
              <w:rPr>
                <w:color w:val="000000"/>
              </w:rPr>
              <w:t>What is the difference between variables that end in _pbl and those that end in _abl?</w:t>
            </w:r>
            <w:r>
              <w:rPr>
                <w:color w:val="000000"/>
              </w:rPr>
              <w:tab/>
              <w:t>19</w:t>
            </w:r>
          </w:hyperlink>
        </w:p>
        <w:p w14:paraId="5EB58FC4" w14:textId="77777777" w:rsidR="00895B32" w:rsidRDefault="00000000">
          <w:pPr>
            <w:widowControl w:val="0"/>
            <w:tabs>
              <w:tab w:val="right" w:leader="dot" w:pos="12000"/>
            </w:tabs>
            <w:spacing w:before="60" w:line="240" w:lineRule="auto"/>
            <w:ind w:left="720"/>
            <w:rPr>
              <w:color w:val="000000"/>
            </w:rPr>
          </w:pPr>
          <w:hyperlink w:anchor="_dzikluftd8gi">
            <w:r>
              <w:rPr>
                <w:color w:val="000000"/>
              </w:rPr>
              <w:t>Why is there free-text in the incom2_* variable responses?</w:t>
            </w:r>
            <w:r>
              <w:rPr>
                <w:color w:val="000000"/>
              </w:rPr>
              <w:tab/>
              <w:t>19</w:t>
            </w:r>
          </w:hyperlink>
        </w:p>
        <w:p w14:paraId="765938DA" w14:textId="77777777" w:rsidR="00895B32" w:rsidRDefault="00000000">
          <w:pPr>
            <w:widowControl w:val="0"/>
            <w:tabs>
              <w:tab w:val="right" w:leader="dot" w:pos="12000"/>
            </w:tabs>
            <w:spacing w:before="60" w:line="240" w:lineRule="auto"/>
            <w:ind w:left="720"/>
            <w:rPr>
              <w:color w:val="000000"/>
            </w:rPr>
          </w:pPr>
          <w:hyperlink w:anchor="_hcl5a3pixn5x">
            <w:r>
              <w:rPr>
                <w:color w:val="000000"/>
              </w:rPr>
              <w:t>What do the three different race measures in the Parent Proxy Baseline survey tell us?</w:t>
            </w:r>
            <w:r>
              <w:rPr>
                <w:color w:val="000000"/>
              </w:rPr>
              <w:tab/>
              <w:t>19</w:t>
            </w:r>
          </w:hyperlink>
        </w:p>
        <w:p w14:paraId="57E6FD8D" w14:textId="77777777" w:rsidR="00895B32" w:rsidRDefault="00000000">
          <w:pPr>
            <w:widowControl w:val="0"/>
            <w:tabs>
              <w:tab w:val="right" w:leader="dot" w:pos="12000"/>
            </w:tabs>
            <w:spacing w:before="60" w:line="240" w:lineRule="auto"/>
            <w:ind w:left="720"/>
            <w:rPr>
              <w:color w:val="000000"/>
            </w:rPr>
          </w:pPr>
          <w:hyperlink w:anchor="_q8h1acbfbov2">
            <w:r>
              <w:rPr>
                <w:color w:val="000000"/>
              </w:rPr>
              <w:t>How does each site define “primary parent”?</w:t>
            </w:r>
            <w:r>
              <w:rPr>
                <w:color w:val="000000"/>
              </w:rPr>
              <w:tab/>
              <w:t>19</w:t>
            </w:r>
          </w:hyperlink>
        </w:p>
        <w:p w14:paraId="5399FBE3" w14:textId="77777777" w:rsidR="00895B32" w:rsidRDefault="00000000">
          <w:pPr>
            <w:widowControl w:val="0"/>
            <w:tabs>
              <w:tab w:val="right" w:leader="dot" w:pos="12000"/>
            </w:tabs>
            <w:spacing w:before="60" w:line="240" w:lineRule="auto"/>
            <w:ind w:left="720"/>
            <w:rPr>
              <w:color w:val="000000"/>
            </w:rPr>
          </w:pPr>
          <w:hyperlink w:anchor="_2mbvz5tix9nq">
            <w:r>
              <w:rPr>
                <w:color w:val="000000"/>
              </w:rPr>
              <w:t>Why are some pediatric ages (in age2_pbl) 18+?</w:t>
            </w:r>
            <w:r>
              <w:rPr>
                <w:color w:val="000000"/>
              </w:rPr>
              <w:tab/>
              <w:t>20</w:t>
            </w:r>
          </w:hyperlink>
        </w:p>
        <w:p w14:paraId="5561225C" w14:textId="77777777" w:rsidR="00895B32" w:rsidRDefault="00000000">
          <w:pPr>
            <w:widowControl w:val="0"/>
            <w:tabs>
              <w:tab w:val="right" w:leader="dot" w:pos="12000"/>
            </w:tabs>
            <w:spacing w:before="60" w:line="240" w:lineRule="auto"/>
            <w:ind w:left="720"/>
            <w:rPr>
              <w:color w:val="000000"/>
            </w:rPr>
          </w:pPr>
          <w:hyperlink w:anchor="_ex01gar44gu7">
            <w:r>
              <w:rPr>
                <w:color w:val="000000"/>
              </w:rPr>
              <w:t>What reference date(s) do sites use to calculate age in the Harmonized Measures?</w:t>
            </w:r>
            <w:r>
              <w:rPr>
                <w:color w:val="000000"/>
              </w:rPr>
              <w:tab/>
              <w:t>21</w:t>
            </w:r>
          </w:hyperlink>
        </w:p>
        <w:p w14:paraId="0A6FF6AC" w14:textId="77777777" w:rsidR="00895B32" w:rsidRDefault="00000000">
          <w:pPr>
            <w:widowControl w:val="0"/>
            <w:tabs>
              <w:tab w:val="right" w:leader="dot" w:pos="12000"/>
            </w:tabs>
            <w:spacing w:before="60" w:line="240" w:lineRule="auto"/>
            <w:rPr>
              <w:b/>
              <w:color w:val="000000"/>
            </w:rPr>
          </w:pPr>
          <w:hyperlink w:anchor="_s1ghdsiz2kmt">
            <w:r>
              <w:rPr>
                <w:color w:val="000000"/>
              </w:rPr>
              <w:t>Sequencing Metrics</w:t>
            </w:r>
            <w:r>
              <w:rPr>
                <w:color w:val="000000"/>
              </w:rPr>
              <w:tab/>
              <w:t>22</w:t>
            </w:r>
          </w:hyperlink>
        </w:p>
        <w:p w14:paraId="0456D065" w14:textId="77777777" w:rsidR="00895B32" w:rsidRDefault="00000000">
          <w:pPr>
            <w:widowControl w:val="0"/>
            <w:tabs>
              <w:tab w:val="right" w:leader="dot" w:pos="12000"/>
            </w:tabs>
            <w:spacing w:before="60" w:line="240" w:lineRule="auto"/>
            <w:ind w:left="360"/>
            <w:rPr>
              <w:color w:val="000000"/>
            </w:rPr>
          </w:pPr>
          <w:hyperlink w:anchor="_qlhzkncepid">
            <w:r>
              <w:rPr>
                <w:color w:val="000000"/>
              </w:rPr>
              <w:t>Site-level application of case-level diagnostic categories</w:t>
            </w:r>
            <w:r>
              <w:rPr>
                <w:color w:val="000000"/>
              </w:rPr>
              <w:tab/>
              <w:t>22</w:t>
            </w:r>
          </w:hyperlink>
        </w:p>
        <w:p w14:paraId="1185771B" w14:textId="77777777" w:rsidR="00895B32" w:rsidRDefault="00000000">
          <w:pPr>
            <w:widowControl w:val="0"/>
            <w:tabs>
              <w:tab w:val="right" w:leader="dot" w:pos="12000"/>
            </w:tabs>
            <w:spacing w:before="60" w:line="240" w:lineRule="auto"/>
            <w:rPr>
              <w:b/>
              <w:color w:val="000000"/>
            </w:rPr>
          </w:pPr>
          <w:hyperlink w:anchor="_7gtcqgbs2ob6">
            <w:r>
              <w:rPr>
                <w:color w:val="000000"/>
              </w:rPr>
              <w:t>Sequence Data/Metadata</w:t>
            </w:r>
            <w:r>
              <w:rPr>
                <w:color w:val="000000"/>
              </w:rPr>
              <w:tab/>
              <w:t>24</w:t>
            </w:r>
          </w:hyperlink>
        </w:p>
        <w:p w14:paraId="4836F411" w14:textId="77777777" w:rsidR="00895B32" w:rsidRDefault="00000000">
          <w:pPr>
            <w:widowControl w:val="0"/>
            <w:tabs>
              <w:tab w:val="right" w:leader="dot" w:pos="12000"/>
            </w:tabs>
            <w:spacing w:before="60" w:line="240" w:lineRule="auto"/>
            <w:ind w:left="360"/>
            <w:rPr>
              <w:color w:val="000000"/>
            </w:rPr>
          </w:pPr>
          <w:hyperlink w:anchor="_1tfb3rns7n7t">
            <w:r>
              <w:rPr>
                <w:color w:val="000000"/>
              </w:rPr>
              <w:t>Site-level sequence data QC</w:t>
            </w:r>
            <w:r>
              <w:rPr>
                <w:color w:val="000000"/>
              </w:rPr>
              <w:tab/>
              <w:t>24</w:t>
            </w:r>
          </w:hyperlink>
        </w:p>
        <w:p w14:paraId="7F3DFEEC" w14:textId="77777777" w:rsidR="00895B32" w:rsidRDefault="00000000">
          <w:pPr>
            <w:widowControl w:val="0"/>
            <w:tabs>
              <w:tab w:val="right" w:leader="dot" w:pos="12000"/>
            </w:tabs>
            <w:spacing w:before="60" w:line="240" w:lineRule="auto"/>
            <w:rPr>
              <w:b/>
              <w:color w:val="000000"/>
            </w:rPr>
          </w:pPr>
          <w:hyperlink w:anchor="_ubl23e41w5y6">
            <w:r>
              <w:rPr>
                <w:color w:val="000000"/>
              </w:rPr>
              <w:t>Phenotype Data</w:t>
            </w:r>
            <w:r>
              <w:rPr>
                <w:color w:val="000000"/>
              </w:rPr>
              <w:tab/>
              <w:t>27</w:t>
            </w:r>
          </w:hyperlink>
        </w:p>
        <w:p w14:paraId="0869A045" w14:textId="77777777" w:rsidR="00895B32" w:rsidRDefault="00000000">
          <w:pPr>
            <w:widowControl w:val="0"/>
            <w:tabs>
              <w:tab w:val="right" w:leader="dot" w:pos="12000"/>
            </w:tabs>
            <w:spacing w:before="60" w:line="240" w:lineRule="auto"/>
            <w:ind w:left="360"/>
            <w:rPr>
              <w:color w:val="000000"/>
            </w:rPr>
          </w:pPr>
          <w:hyperlink w:anchor="_cuf5mcc5xqyc">
            <w:r>
              <w:rPr>
                <w:color w:val="000000"/>
              </w:rPr>
              <w:t>HPO Terms</w:t>
            </w:r>
            <w:r>
              <w:rPr>
                <w:color w:val="000000"/>
              </w:rPr>
              <w:tab/>
              <w:t>27</w:t>
            </w:r>
          </w:hyperlink>
        </w:p>
        <w:p w14:paraId="57362658" w14:textId="77777777" w:rsidR="00895B32" w:rsidRDefault="00000000">
          <w:pPr>
            <w:widowControl w:val="0"/>
            <w:tabs>
              <w:tab w:val="right" w:leader="dot" w:pos="12000"/>
            </w:tabs>
            <w:spacing w:before="60" w:line="240" w:lineRule="auto"/>
            <w:rPr>
              <w:b/>
              <w:color w:val="000000"/>
            </w:rPr>
          </w:pPr>
          <w:hyperlink w:anchor="_g6fshbww886y">
            <w:r>
              <w:rPr>
                <w:color w:val="000000"/>
              </w:rPr>
              <w:t>Calculated Fields</w:t>
            </w:r>
            <w:r>
              <w:rPr>
                <w:color w:val="000000"/>
              </w:rPr>
              <w:tab/>
              <w:t>29</w:t>
            </w:r>
          </w:hyperlink>
        </w:p>
        <w:p w14:paraId="5369EF69" w14:textId="77777777" w:rsidR="00895B32" w:rsidRDefault="00000000">
          <w:pPr>
            <w:widowControl w:val="0"/>
            <w:tabs>
              <w:tab w:val="right" w:leader="dot" w:pos="12000"/>
            </w:tabs>
            <w:spacing w:before="60" w:line="240" w:lineRule="auto"/>
            <w:ind w:left="360"/>
            <w:rPr>
              <w:color w:val="000000"/>
            </w:rPr>
          </w:pPr>
          <w:hyperlink w:anchor="_y4rx2729fm71">
            <w:r>
              <w:rPr>
                <w:color w:val="000000"/>
              </w:rPr>
              <w:t>Underserved Framework</w:t>
            </w:r>
            <w:r>
              <w:rPr>
                <w:color w:val="000000"/>
              </w:rPr>
              <w:tab/>
              <w:t>29</w:t>
            </w:r>
          </w:hyperlink>
        </w:p>
        <w:p w14:paraId="22126923" w14:textId="77777777" w:rsidR="00895B32" w:rsidRDefault="00000000">
          <w:pPr>
            <w:widowControl w:val="0"/>
            <w:tabs>
              <w:tab w:val="right" w:leader="dot" w:pos="12000"/>
            </w:tabs>
            <w:spacing w:before="60" w:line="240" w:lineRule="auto"/>
            <w:rPr>
              <w:b/>
              <w:color w:val="000000"/>
            </w:rPr>
          </w:pPr>
          <w:hyperlink w:anchor="_sq9bmyqu09kg">
            <w:r>
              <w:rPr>
                <w:color w:val="000000"/>
              </w:rPr>
              <w:t>References</w:t>
            </w:r>
            <w:r>
              <w:rPr>
                <w:color w:val="000000"/>
              </w:rPr>
              <w:tab/>
              <w:t>29</w:t>
            </w:r>
          </w:hyperlink>
          <w:r>
            <w:fldChar w:fldCharType="end"/>
          </w:r>
        </w:p>
      </w:sdtContent>
    </w:sdt>
    <w:p w14:paraId="37581CF6" w14:textId="77777777" w:rsidR="00895B32" w:rsidRDefault="00895B32"/>
    <w:p w14:paraId="4A5BDA84" w14:textId="77777777" w:rsidR="00895B32" w:rsidRDefault="00000000">
      <w:pPr>
        <w:pStyle w:val="Heading1"/>
      </w:pPr>
      <w:bookmarkStart w:id="4" w:name="_fzy14m64ok2n" w:colFirst="0" w:colLast="0"/>
      <w:bookmarkEnd w:id="4"/>
      <w:r>
        <w:t>CSER site descriptions</w:t>
      </w:r>
    </w:p>
    <w:p w14:paraId="40DAC8EE" w14:textId="77777777" w:rsidR="00895B32" w:rsidRDefault="00000000">
      <w:r>
        <w:t xml:space="preserve">Brief descriptions of all CSER2 sites can also be found in the </w:t>
      </w:r>
      <w:hyperlink r:id="rId5">
        <w:r>
          <w:rPr>
            <w:color w:val="1155CC"/>
            <w:u w:val="single"/>
          </w:rPr>
          <w:t>CSER marker paper</w:t>
        </w:r>
      </w:hyperlink>
      <w:r>
        <w:t xml:space="preserve"> </w:t>
      </w:r>
      <w:hyperlink r:id="rId6">
        <w:r>
          <w:t>[1]</w:t>
        </w:r>
      </w:hyperlink>
      <w:r>
        <w:t>.</w:t>
      </w:r>
    </w:p>
    <w:p w14:paraId="245B172C" w14:textId="77777777" w:rsidR="00895B32" w:rsidRDefault="00895B32"/>
    <w:tbl>
      <w:tblPr>
        <w:tblStyle w:val="a"/>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845"/>
        <w:gridCol w:w="1230"/>
        <w:gridCol w:w="2325"/>
        <w:gridCol w:w="2445"/>
      </w:tblGrid>
      <w:tr w:rsidR="00895B32" w14:paraId="17DE4036" w14:textId="77777777">
        <w:tc>
          <w:tcPr>
            <w:tcW w:w="1515" w:type="dxa"/>
            <w:shd w:val="clear" w:color="auto" w:fill="auto"/>
            <w:tcMar>
              <w:top w:w="100" w:type="dxa"/>
              <w:left w:w="100" w:type="dxa"/>
              <w:bottom w:w="100" w:type="dxa"/>
              <w:right w:w="100" w:type="dxa"/>
            </w:tcMar>
          </w:tcPr>
          <w:p w14:paraId="5594BC1D" w14:textId="77777777" w:rsidR="00895B32" w:rsidRDefault="00000000">
            <w:pPr>
              <w:widowControl w:val="0"/>
              <w:spacing w:line="240" w:lineRule="auto"/>
              <w:jc w:val="center"/>
              <w:rPr>
                <w:b/>
              </w:rPr>
            </w:pPr>
            <w:r>
              <w:rPr>
                <w:b/>
              </w:rPr>
              <w:t>Study</w:t>
            </w:r>
          </w:p>
        </w:tc>
        <w:tc>
          <w:tcPr>
            <w:tcW w:w="1845" w:type="dxa"/>
            <w:shd w:val="clear" w:color="auto" w:fill="auto"/>
            <w:tcMar>
              <w:top w:w="100" w:type="dxa"/>
              <w:left w:w="100" w:type="dxa"/>
              <w:bottom w:w="100" w:type="dxa"/>
              <w:right w:w="100" w:type="dxa"/>
            </w:tcMar>
          </w:tcPr>
          <w:p w14:paraId="4601892A" w14:textId="77777777" w:rsidR="00895B32" w:rsidRDefault="00000000">
            <w:pPr>
              <w:widowControl w:val="0"/>
              <w:spacing w:line="240" w:lineRule="auto"/>
              <w:jc w:val="center"/>
              <w:rPr>
                <w:b/>
              </w:rPr>
            </w:pPr>
            <w:r>
              <w:rPr>
                <w:b/>
              </w:rPr>
              <w:t>Institution</w:t>
            </w:r>
          </w:p>
        </w:tc>
        <w:tc>
          <w:tcPr>
            <w:tcW w:w="1230" w:type="dxa"/>
            <w:shd w:val="clear" w:color="auto" w:fill="auto"/>
            <w:tcMar>
              <w:top w:w="100" w:type="dxa"/>
              <w:left w:w="100" w:type="dxa"/>
              <w:bottom w:w="100" w:type="dxa"/>
              <w:right w:w="100" w:type="dxa"/>
            </w:tcMar>
          </w:tcPr>
          <w:p w14:paraId="43F7E7ED" w14:textId="77777777" w:rsidR="00895B32" w:rsidRDefault="00000000">
            <w:pPr>
              <w:widowControl w:val="0"/>
              <w:spacing w:line="240" w:lineRule="auto"/>
              <w:jc w:val="center"/>
              <w:rPr>
                <w:b/>
              </w:rPr>
            </w:pPr>
            <w:r>
              <w:rPr>
                <w:b/>
              </w:rPr>
              <w:t>Abbrev.</w:t>
            </w:r>
          </w:p>
        </w:tc>
        <w:tc>
          <w:tcPr>
            <w:tcW w:w="2325" w:type="dxa"/>
            <w:shd w:val="clear" w:color="auto" w:fill="auto"/>
            <w:tcMar>
              <w:top w:w="100" w:type="dxa"/>
              <w:left w:w="100" w:type="dxa"/>
              <w:bottom w:w="100" w:type="dxa"/>
              <w:right w:w="100" w:type="dxa"/>
            </w:tcMar>
          </w:tcPr>
          <w:p w14:paraId="18893682" w14:textId="77777777" w:rsidR="00895B32" w:rsidRDefault="00000000">
            <w:pPr>
              <w:widowControl w:val="0"/>
              <w:spacing w:line="240" w:lineRule="auto"/>
              <w:jc w:val="center"/>
              <w:rPr>
                <w:b/>
              </w:rPr>
            </w:pPr>
            <w:r>
              <w:rPr>
                <w:b/>
              </w:rPr>
              <w:t>Patient Population</w:t>
            </w:r>
          </w:p>
        </w:tc>
        <w:tc>
          <w:tcPr>
            <w:tcW w:w="2445" w:type="dxa"/>
            <w:shd w:val="clear" w:color="auto" w:fill="auto"/>
            <w:tcMar>
              <w:top w:w="100" w:type="dxa"/>
              <w:left w:w="100" w:type="dxa"/>
              <w:bottom w:w="100" w:type="dxa"/>
              <w:right w:w="100" w:type="dxa"/>
            </w:tcMar>
          </w:tcPr>
          <w:p w14:paraId="62FCD0AC" w14:textId="77777777" w:rsidR="00895B32" w:rsidRDefault="00000000">
            <w:pPr>
              <w:widowControl w:val="0"/>
              <w:spacing w:line="240" w:lineRule="auto"/>
              <w:jc w:val="center"/>
              <w:rPr>
                <w:b/>
              </w:rPr>
            </w:pPr>
            <w:r>
              <w:rPr>
                <w:b/>
              </w:rPr>
              <w:t>Sequence Modality</w:t>
            </w:r>
          </w:p>
        </w:tc>
      </w:tr>
      <w:tr w:rsidR="00895B32" w14:paraId="3417513F" w14:textId="77777777">
        <w:tc>
          <w:tcPr>
            <w:tcW w:w="1515" w:type="dxa"/>
            <w:shd w:val="clear" w:color="auto" w:fill="auto"/>
            <w:tcMar>
              <w:top w:w="100" w:type="dxa"/>
              <w:left w:w="100" w:type="dxa"/>
              <w:bottom w:w="100" w:type="dxa"/>
              <w:right w:w="100" w:type="dxa"/>
            </w:tcMar>
          </w:tcPr>
          <w:p w14:paraId="44521668" w14:textId="77777777" w:rsidR="00895B32" w:rsidRDefault="00000000">
            <w:pPr>
              <w:jc w:val="center"/>
            </w:pPr>
            <w:hyperlink r:id="rId7">
              <w:r>
                <w:rPr>
                  <w:color w:val="1155CC"/>
                  <w:u w:val="single"/>
                </w:rPr>
                <w:t>CHARM</w:t>
              </w:r>
            </w:hyperlink>
          </w:p>
        </w:tc>
        <w:tc>
          <w:tcPr>
            <w:tcW w:w="1845" w:type="dxa"/>
            <w:shd w:val="clear" w:color="auto" w:fill="auto"/>
            <w:tcMar>
              <w:top w:w="100" w:type="dxa"/>
              <w:left w:w="100" w:type="dxa"/>
              <w:bottom w:w="100" w:type="dxa"/>
              <w:right w:w="100" w:type="dxa"/>
            </w:tcMar>
          </w:tcPr>
          <w:p w14:paraId="1C3275DD" w14:textId="77777777" w:rsidR="00895B32" w:rsidRDefault="00000000">
            <w:pPr>
              <w:widowControl w:val="0"/>
              <w:spacing w:line="240" w:lineRule="auto"/>
              <w:jc w:val="center"/>
            </w:pPr>
            <w:r>
              <w:t>Kaiser Permanente Northwest</w:t>
            </w:r>
          </w:p>
        </w:tc>
        <w:tc>
          <w:tcPr>
            <w:tcW w:w="1230" w:type="dxa"/>
            <w:shd w:val="clear" w:color="auto" w:fill="auto"/>
            <w:tcMar>
              <w:top w:w="100" w:type="dxa"/>
              <w:left w:w="100" w:type="dxa"/>
              <w:bottom w:w="100" w:type="dxa"/>
              <w:right w:w="100" w:type="dxa"/>
            </w:tcMar>
          </w:tcPr>
          <w:p w14:paraId="56E07035" w14:textId="77777777" w:rsidR="00895B32" w:rsidRDefault="00000000">
            <w:pPr>
              <w:widowControl w:val="0"/>
              <w:spacing w:line="240" w:lineRule="auto"/>
              <w:jc w:val="center"/>
            </w:pPr>
            <w:r>
              <w:t>kfri</w:t>
            </w:r>
          </w:p>
        </w:tc>
        <w:tc>
          <w:tcPr>
            <w:tcW w:w="2325" w:type="dxa"/>
            <w:shd w:val="clear" w:color="auto" w:fill="auto"/>
            <w:tcMar>
              <w:top w:w="100" w:type="dxa"/>
              <w:left w:w="100" w:type="dxa"/>
              <w:bottom w:w="100" w:type="dxa"/>
              <w:right w:w="100" w:type="dxa"/>
            </w:tcMar>
          </w:tcPr>
          <w:p w14:paraId="7B3D81AF" w14:textId="77777777" w:rsidR="00895B32" w:rsidRDefault="00000000">
            <w:pPr>
              <w:widowControl w:val="0"/>
              <w:spacing w:line="240" w:lineRule="auto"/>
              <w:jc w:val="center"/>
            </w:pPr>
            <w:r>
              <w:t>Adults at risk for hereditary cancer</w:t>
            </w:r>
          </w:p>
        </w:tc>
        <w:tc>
          <w:tcPr>
            <w:tcW w:w="2445" w:type="dxa"/>
            <w:shd w:val="clear" w:color="auto" w:fill="auto"/>
            <w:tcMar>
              <w:top w:w="100" w:type="dxa"/>
              <w:left w:w="100" w:type="dxa"/>
              <w:bottom w:w="100" w:type="dxa"/>
              <w:right w:w="100" w:type="dxa"/>
            </w:tcMar>
          </w:tcPr>
          <w:p w14:paraId="01A50E04" w14:textId="77777777" w:rsidR="00895B32" w:rsidRDefault="00000000">
            <w:pPr>
              <w:widowControl w:val="0"/>
              <w:spacing w:line="240" w:lineRule="auto"/>
              <w:jc w:val="center"/>
            </w:pPr>
            <w:r>
              <w:t>Germline ES versus usual care</w:t>
            </w:r>
          </w:p>
        </w:tc>
      </w:tr>
      <w:tr w:rsidR="00895B32" w14:paraId="1765887C" w14:textId="77777777">
        <w:tc>
          <w:tcPr>
            <w:tcW w:w="1515" w:type="dxa"/>
            <w:shd w:val="clear" w:color="auto" w:fill="auto"/>
            <w:tcMar>
              <w:top w:w="100" w:type="dxa"/>
              <w:left w:w="100" w:type="dxa"/>
              <w:bottom w:w="100" w:type="dxa"/>
              <w:right w:w="100" w:type="dxa"/>
            </w:tcMar>
          </w:tcPr>
          <w:p w14:paraId="7D94B4A7" w14:textId="77777777" w:rsidR="00895B32" w:rsidRDefault="00000000">
            <w:pPr>
              <w:jc w:val="center"/>
            </w:pPr>
            <w:hyperlink r:id="rId8">
              <w:r>
                <w:rPr>
                  <w:color w:val="1155CC"/>
                  <w:u w:val="single"/>
                </w:rPr>
                <w:t>KidsCanSeq</w:t>
              </w:r>
            </w:hyperlink>
          </w:p>
        </w:tc>
        <w:tc>
          <w:tcPr>
            <w:tcW w:w="1845" w:type="dxa"/>
            <w:shd w:val="clear" w:color="auto" w:fill="auto"/>
            <w:tcMar>
              <w:top w:w="100" w:type="dxa"/>
              <w:left w:w="100" w:type="dxa"/>
              <w:bottom w:w="100" w:type="dxa"/>
              <w:right w:w="100" w:type="dxa"/>
            </w:tcMar>
          </w:tcPr>
          <w:p w14:paraId="4CE35D0C" w14:textId="77777777" w:rsidR="00895B32" w:rsidRDefault="00000000">
            <w:pPr>
              <w:widowControl w:val="0"/>
              <w:spacing w:line="240" w:lineRule="auto"/>
              <w:jc w:val="center"/>
            </w:pPr>
            <w:r>
              <w:t>Baylor College of Medicine</w:t>
            </w:r>
          </w:p>
        </w:tc>
        <w:tc>
          <w:tcPr>
            <w:tcW w:w="1230" w:type="dxa"/>
            <w:shd w:val="clear" w:color="auto" w:fill="auto"/>
            <w:tcMar>
              <w:top w:w="100" w:type="dxa"/>
              <w:left w:w="100" w:type="dxa"/>
              <w:bottom w:w="100" w:type="dxa"/>
              <w:right w:w="100" w:type="dxa"/>
            </w:tcMar>
          </w:tcPr>
          <w:p w14:paraId="497566A8" w14:textId="77777777" w:rsidR="00895B32" w:rsidRDefault="00000000">
            <w:pPr>
              <w:widowControl w:val="0"/>
              <w:spacing w:line="240" w:lineRule="auto"/>
              <w:jc w:val="center"/>
            </w:pPr>
            <w:r>
              <w:t>bcm</w:t>
            </w:r>
          </w:p>
        </w:tc>
        <w:tc>
          <w:tcPr>
            <w:tcW w:w="2325" w:type="dxa"/>
            <w:shd w:val="clear" w:color="auto" w:fill="auto"/>
            <w:tcMar>
              <w:top w:w="100" w:type="dxa"/>
              <w:left w:w="100" w:type="dxa"/>
              <w:bottom w:w="100" w:type="dxa"/>
              <w:right w:w="100" w:type="dxa"/>
            </w:tcMar>
          </w:tcPr>
          <w:p w14:paraId="37F017F1" w14:textId="77777777" w:rsidR="00895B32" w:rsidRDefault="00000000">
            <w:pPr>
              <w:widowControl w:val="0"/>
              <w:spacing w:line="240" w:lineRule="auto"/>
              <w:jc w:val="center"/>
            </w:pPr>
            <w:r>
              <w:t>Children with cancer</w:t>
            </w:r>
          </w:p>
        </w:tc>
        <w:tc>
          <w:tcPr>
            <w:tcW w:w="2445" w:type="dxa"/>
            <w:shd w:val="clear" w:color="auto" w:fill="auto"/>
            <w:tcMar>
              <w:top w:w="100" w:type="dxa"/>
              <w:left w:w="100" w:type="dxa"/>
              <w:bottom w:w="100" w:type="dxa"/>
              <w:right w:w="100" w:type="dxa"/>
            </w:tcMar>
          </w:tcPr>
          <w:p w14:paraId="10D35B62" w14:textId="77777777" w:rsidR="00895B32" w:rsidRDefault="00000000">
            <w:pPr>
              <w:widowControl w:val="0"/>
              <w:spacing w:line="240" w:lineRule="auto"/>
              <w:jc w:val="center"/>
            </w:pPr>
            <w:r>
              <w:t>Germline ES, tumor ES and transcriptome versus targeted panel testing</w:t>
            </w:r>
          </w:p>
        </w:tc>
      </w:tr>
      <w:tr w:rsidR="00895B32" w14:paraId="570BDA75" w14:textId="77777777">
        <w:tc>
          <w:tcPr>
            <w:tcW w:w="1515" w:type="dxa"/>
            <w:shd w:val="clear" w:color="auto" w:fill="auto"/>
            <w:tcMar>
              <w:top w:w="100" w:type="dxa"/>
              <w:left w:w="100" w:type="dxa"/>
              <w:bottom w:w="100" w:type="dxa"/>
              <w:right w:w="100" w:type="dxa"/>
            </w:tcMar>
          </w:tcPr>
          <w:p w14:paraId="2D31B445" w14:textId="77777777" w:rsidR="00895B32" w:rsidRDefault="00000000">
            <w:pPr>
              <w:jc w:val="center"/>
            </w:pPr>
            <w:hyperlink r:id="rId9">
              <w:r>
                <w:rPr>
                  <w:color w:val="1155CC"/>
                  <w:u w:val="single"/>
                </w:rPr>
                <w:t>NCGENES 2</w:t>
              </w:r>
            </w:hyperlink>
          </w:p>
        </w:tc>
        <w:tc>
          <w:tcPr>
            <w:tcW w:w="1845" w:type="dxa"/>
            <w:shd w:val="clear" w:color="auto" w:fill="auto"/>
            <w:tcMar>
              <w:top w:w="100" w:type="dxa"/>
              <w:left w:w="100" w:type="dxa"/>
              <w:bottom w:w="100" w:type="dxa"/>
              <w:right w:w="100" w:type="dxa"/>
            </w:tcMar>
          </w:tcPr>
          <w:p w14:paraId="66DD8FE2" w14:textId="77777777" w:rsidR="00895B32" w:rsidRDefault="00000000">
            <w:pPr>
              <w:widowControl w:val="0"/>
              <w:spacing w:line="240" w:lineRule="auto"/>
              <w:jc w:val="center"/>
            </w:pPr>
            <w:r>
              <w:t>UNC - Chapel Hill</w:t>
            </w:r>
          </w:p>
        </w:tc>
        <w:tc>
          <w:tcPr>
            <w:tcW w:w="1230" w:type="dxa"/>
            <w:shd w:val="clear" w:color="auto" w:fill="auto"/>
            <w:tcMar>
              <w:top w:w="100" w:type="dxa"/>
              <w:left w:w="100" w:type="dxa"/>
              <w:bottom w:w="100" w:type="dxa"/>
              <w:right w:w="100" w:type="dxa"/>
            </w:tcMar>
          </w:tcPr>
          <w:p w14:paraId="5CE5C29E" w14:textId="77777777" w:rsidR="00895B32" w:rsidRDefault="00000000">
            <w:pPr>
              <w:widowControl w:val="0"/>
              <w:spacing w:line="240" w:lineRule="auto"/>
              <w:jc w:val="center"/>
            </w:pPr>
            <w:r>
              <w:t>ncch</w:t>
            </w:r>
          </w:p>
        </w:tc>
        <w:tc>
          <w:tcPr>
            <w:tcW w:w="2325" w:type="dxa"/>
            <w:shd w:val="clear" w:color="auto" w:fill="auto"/>
            <w:tcMar>
              <w:top w:w="100" w:type="dxa"/>
              <w:left w:w="100" w:type="dxa"/>
              <w:bottom w:w="100" w:type="dxa"/>
              <w:right w:w="100" w:type="dxa"/>
            </w:tcMar>
          </w:tcPr>
          <w:p w14:paraId="7568085A" w14:textId="77777777" w:rsidR="00895B32" w:rsidRDefault="00000000">
            <w:pPr>
              <w:widowControl w:val="0"/>
              <w:spacing w:line="240" w:lineRule="auto"/>
              <w:jc w:val="center"/>
            </w:pPr>
            <w:r>
              <w:t>Children with suspected genetic conditions (developmental disabilities, dysmorphology, neuromuscular disorders)</w:t>
            </w:r>
          </w:p>
        </w:tc>
        <w:tc>
          <w:tcPr>
            <w:tcW w:w="2445" w:type="dxa"/>
            <w:shd w:val="clear" w:color="auto" w:fill="auto"/>
            <w:tcMar>
              <w:top w:w="100" w:type="dxa"/>
              <w:left w:w="100" w:type="dxa"/>
              <w:bottom w:w="100" w:type="dxa"/>
              <w:right w:w="100" w:type="dxa"/>
            </w:tcMar>
          </w:tcPr>
          <w:p w14:paraId="3315668C" w14:textId="77777777" w:rsidR="00895B32" w:rsidRDefault="00000000">
            <w:pPr>
              <w:widowControl w:val="0"/>
              <w:spacing w:line="240" w:lineRule="auto"/>
              <w:jc w:val="center"/>
            </w:pPr>
            <w:r>
              <w:t>Germline ES versus usual care</w:t>
            </w:r>
          </w:p>
        </w:tc>
      </w:tr>
      <w:tr w:rsidR="00895B32" w14:paraId="5F8E5AF0" w14:textId="77777777">
        <w:tc>
          <w:tcPr>
            <w:tcW w:w="1515" w:type="dxa"/>
            <w:shd w:val="clear" w:color="auto" w:fill="auto"/>
            <w:tcMar>
              <w:top w:w="100" w:type="dxa"/>
              <w:left w:w="100" w:type="dxa"/>
              <w:bottom w:w="100" w:type="dxa"/>
              <w:right w:w="100" w:type="dxa"/>
            </w:tcMar>
          </w:tcPr>
          <w:p w14:paraId="7CC88CEC" w14:textId="77777777" w:rsidR="00895B32" w:rsidRDefault="00000000">
            <w:pPr>
              <w:jc w:val="center"/>
            </w:pPr>
            <w:hyperlink r:id="rId10">
              <w:r>
                <w:rPr>
                  <w:color w:val="1155CC"/>
                  <w:u w:val="single"/>
                </w:rPr>
                <w:t>NYCKidSeq</w:t>
              </w:r>
            </w:hyperlink>
            <w:r>
              <w:t>/</w:t>
            </w:r>
            <w:hyperlink r:id="rId11">
              <w:r>
                <w:rPr>
                  <w:color w:val="1155CC"/>
                  <w:u w:val="single"/>
                </w:rPr>
                <w:t>TeleKidSeq</w:t>
              </w:r>
            </w:hyperlink>
          </w:p>
        </w:tc>
        <w:tc>
          <w:tcPr>
            <w:tcW w:w="1845" w:type="dxa"/>
            <w:shd w:val="clear" w:color="auto" w:fill="auto"/>
            <w:tcMar>
              <w:top w:w="100" w:type="dxa"/>
              <w:left w:w="100" w:type="dxa"/>
              <w:bottom w:w="100" w:type="dxa"/>
              <w:right w:w="100" w:type="dxa"/>
            </w:tcMar>
          </w:tcPr>
          <w:p w14:paraId="34D33272" w14:textId="77777777" w:rsidR="00895B32" w:rsidRDefault="00000000">
            <w:pPr>
              <w:widowControl w:val="0"/>
              <w:spacing w:line="240" w:lineRule="auto"/>
              <w:jc w:val="center"/>
            </w:pPr>
            <w:r>
              <w:t>Mt. Sinai / Montefiore / NYGC</w:t>
            </w:r>
          </w:p>
        </w:tc>
        <w:tc>
          <w:tcPr>
            <w:tcW w:w="1230" w:type="dxa"/>
            <w:shd w:val="clear" w:color="auto" w:fill="auto"/>
            <w:tcMar>
              <w:top w:w="100" w:type="dxa"/>
              <w:left w:w="100" w:type="dxa"/>
              <w:bottom w:w="100" w:type="dxa"/>
              <w:right w:w="100" w:type="dxa"/>
            </w:tcMar>
          </w:tcPr>
          <w:p w14:paraId="25430ADE" w14:textId="77777777" w:rsidR="00895B32" w:rsidRDefault="00000000">
            <w:pPr>
              <w:widowControl w:val="0"/>
              <w:spacing w:line="240" w:lineRule="auto"/>
              <w:jc w:val="center"/>
            </w:pPr>
            <w:r>
              <w:t>mtsi</w:t>
            </w:r>
          </w:p>
        </w:tc>
        <w:tc>
          <w:tcPr>
            <w:tcW w:w="2325" w:type="dxa"/>
            <w:shd w:val="clear" w:color="auto" w:fill="auto"/>
            <w:tcMar>
              <w:top w:w="100" w:type="dxa"/>
              <w:left w:w="100" w:type="dxa"/>
              <w:bottom w:w="100" w:type="dxa"/>
              <w:right w:w="100" w:type="dxa"/>
            </w:tcMar>
          </w:tcPr>
          <w:p w14:paraId="1804BD1E" w14:textId="77777777" w:rsidR="00895B32" w:rsidRDefault="00000000">
            <w:pPr>
              <w:widowControl w:val="0"/>
              <w:spacing w:line="240" w:lineRule="auto"/>
              <w:jc w:val="center"/>
            </w:pPr>
            <w:r>
              <w:t>Children with suspected neurologic, immunologic and cardiac genetic conditions</w:t>
            </w:r>
          </w:p>
        </w:tc>
        <w:tc>
          <w:tcPr>
            <w:tcW w:w="2445" w:type="dxa"/>
            <w:shd w:val="clear" w:color="auto" w:fill="auto"/>
            <w:tcMar>
              <w:top w:w="100" w:type="dxa"/>
              <w:left w:w="100" w:type="dxa"/>
              <w:bottom w:w="100" w:type="dxa"/>
              <w:right w:w="100" w:type="dxa"/>
            </w:tcMar>
          </w:tcPr>
          <w:p w14:paraId="08D7F2E8" w14:textId="77777777" w:rsidR="00895B32" w:rsidRDefault="00000000">
            <w:pPr>
              <w:widowControl w:val="0"/>
              <w:spacing w:line="240" w:lineRule="auto"/>
              <w:jc w:val="center"/>
            </w:pPr>
            <w:r>
              <w:t>Germline GS versus targeted panel</w:t>
            </w:r>
          </w:p>
        </w:tc>
      </w:tr>
      <w:tr w:rsidR="00895B32" w14:paraId="59E532A0" w14:textId="77777777">
        <w:tc>
          <w:tcPr>
            <w:tcW w:w="1515" w:type="dxa"/>
            <w:shd w:val="clear" w:color="auto" w:fill="auto"/>
            <w:tcMar>
              <w:top w:w="100" w:type="dxa"/>
              <w:left w:w="100" w:type="dxa"/>
              <w:bottom w:w="100" w:type="dxa"/>
              <w:right w:w="100" w:type="dxa"/>
            </w:tcMar>
          </w:tcPr>
          <w:p w14:paraId="73438CEA" w14:textId="77777777" w:rsidR="00895B32" w:rsidRDefault="00000000">
            <w:pPr>
              <w:jc w:val="center"/>
            </w:pPr>
            <w:hyperlink r:id="rId12">
              <w:r>
                <w:rPr>
                  <w:color w:val="1155CC"/>
                  <w:u w:val="single"/>
                </w:rPr>
                <w:t>P3EGS</w:t>
              </w:r>
            </w:hyperlink>
          </w:p>
        </w:tc>
        <w:tc>
          <w:tcPr>
            <w:tcW w:w="1845" w:type="dxa"/>
            <w:shd w:val="clear" w:color="auto" w:fill="auto"/>
            <w:tcMar>
              <w:top w:w="100" w:type="dxa"/>
              <w:left w:w="100" w:type="dxa"/>
              <w:bottom w:w="100" w:type="dxa"/>
              <w:right w:w="100" w:type="dxa"/>
            </w:tcMar>
          </w:tcPr>
          <w:p w14:paraId="0181E426" w14:textId="77777777" w:rsidR="00895B32" w:rsidRDefault="00000000">
            <w:pPr>
              <w:widowControl w:val="0"/>
              <w:spacing w:line="240" w:lineRule="auto"/>
              <w:jc w:val="center"/>
            </w:pPr>
            <w:r>
              <w:t>University of California San Francisco</w:t>
            </w:r>
          </w:p>
        </w:tc>
        <w:tc>
          <w:tcPr>
            <w:tcW w:w="1230" w:type="dxa"/>
            <w:shd w:val="clear" w:color="auto" w:fill="auto"/>
            <w:tcMar>
              <w:top w:w="100" w:type="dxa"/>
              <w:left w:w="100" w:type="dxa"/>
              <w:bottom w:w="100" w:type="dxa"/>
              <w:right w:w="100" w:type="dxa"/>
            </w:tcMar>
          </w:tcPr>
          <w:p w14:paraId="6F1A3216" w14:textId="77777777" w:rsidR="00895B32" w:rsidRDefault="00000000">
            <w:pPr>
              <w:widowControl w:val="0"/>
              <w:spacing w:line="240" w:lineRule="auto"/>
              <w:jc w:val="center"/>
            </w:pPr>
            <w:r>
              <w:t>ucsf</w:t>
            </w:r>
          </w:p>
        </w:tc>
        <w:tc>
          <w:tcPr>
            <w:tcW w:w="2325" w:type="dxa"/>
            <w:shd w:val="clear" w:color="auto" w:fill="auto"/>
            <w:tcMar>
              <w:top w:w="100" w:type="dxa"/>
              <w:left w:w="100" w:type="dxa"/>
              <w:bottom w:w="100" w:type="dxa"/>
              <w:right w:w="100" w:type="dxa"/>
            </w:tcMar>
          </w:tcPr>
          <w:p w14:paraId="5B005D3E" w14:textId="77777777" w:rsidR="00895B32" w:rsidRDefault="00000000">
            <w:pPr>
              <w:widowControl w:val="0"/>
              <w:spacing w:line="240" w:lineRule="auto"/>
              <w:jc w:val="center"/>
            </w:pPr>
            <w:r>
              <w:t>Infants and children with severe developmental disorders, with or without congenital anomalies; parents whose fetus has a structural anomaly</w:t>
            </w:r>
          </w:p>
        </w:tc>
        <w:tc>
          <w:tcPr>
            <w:tcW w:w="2445" w:type="dxa"/>
            <w:shd w:val="clear" w:color="auto" w:fill="auto"/>
            <w:tcMar>
              <w:top w:w="100" w:type="dxa"/>
              <w:left w:w="100" w:type="dxa"/>
              <w:bottom w:w="100" w:type="dxa"/>
              <w:right w:w="100" w:type="dxa"/>
            </w:tcMar>
          </w:tcPr>
          <w:p w14:paraId="38060471" w14:textId="77777777" w:rsidR="00895B32" w:rsidRDefault="00000000">
            <w:pPr>
              <w:widowControl w:val="0"/>
              <w:spacing w:line="240" w:lineRule="auto"/>
              <w:jc w:val="center"/>
            </w:pPr>
            <w:r>
              <w:t>Germline ES, duos or trios</w:t>
            </w:r>
          </w:p>
        </w:tc>
      </w:tr>
      <w:tr w:rsidR="00895B32" w14:paraId="2908655A" w14:textId="77777777">
        <w:tc>
          <w:tcPr>
            <w:tcW w:w="1515" w:type="dxa"/>
            <w:shd w:val="clear" w:color="auto" w:fill="auto"/>
            <w:tcMar>
              <w:top w:w="100" w:type="dxa"/>
              <w:left w:w="100" w:type="dxa"/>
              <w:bottom w:w="100" w:type="dxa"/>
              <w:right w:w="100" w:type="dxa"/>
            </w:tcMar>
          </w:tcPr>
          <w:p w14:paraId="48D3FA38" w14:textId="77777777" w:rsidR="00895B32" w:rsidRDefault="00000000">
            <w:pPr>
              <w:jc w:val="center"/>
            </w:pPr>
            <w:hyperlink r:id="rId13">
              <w:r>
                <w:rPr>
                  <w:color w:val="1155CC"/>
                  <w:u w:val="single"/>
                </w:rPr>
                <w:t>SouthSeq</w:t>
              </w:r>
            </w:hyperlink>
          </w:p>
        </w:tc>
        <w:tc>
          <w:tcPr>
            <w:tcW w:w="1845" w:type="dxa"/>
            <w:shd w:val="clear" w:color="auto" w:fill="auto"/>
            <w:tcMar>
              <w:top w:w="100" w:type="dxa"/>
              <w:left w:w="100" w:type="dxa"/>
              <w:bottom w:w="100" w:type="dxa"/>
              <w:right w:w="100" w:type="dxa"/>
            </w:tcMar>
          </w:tcPr>
          <w:p w14:paraId="073304DF" w14:textId="77777777" w:rsidR="00895B32" w:rsidRDefault="00000000">
            <w:pPr>
              <w:widowControl w:val="0"/>
              <w:spacing w:line="240" w:lineRule="auto"/>
              <w:jc w:val="center"/>
            </w:pPr>
            <w:r>
              <w:t>HudsonAlpha</w:t>
            </w:r>
          </w:p>
        </w:tc>
        <w:tc>
          <w:tcPr>
            <w:tcW w:w="1230" w:type="dxa"/>
            <w:shd w:val="clear" w:color="auto" w:fill="auto"/>
            <w:tcMar>
              <w:top w:w="100" w:type="dxa"/>
              <w:left w:w="100" w:type="dxa"/>
              <w:bottom w:w="100" w:type="dxa"/>
              <w:right w:w="100" w:type="dxa"/>
            </w:tcMar>
          </w:tcPr>
          <w:p w14:paraId="4B4EA046" w14:textId="77777777" w:rsidR="00895B32" w:rsidRDefault="00000000">
            <w:pPr>
              <w:widowControl w:val="0"/>
              <w:spacing w:line="240" w:lineRule="auto"/>
              <w:jc w:val="center"/>
            </w:pPr>
            <w:r>
              <w:t>haib</w:t>
            </w:r>
          </w:p>
        </w:tc>
        <w:tc>
          <w:tcPr>
            <w:tcW w:w="2325" w:type="dxa"/>
            <w:shd w:val="clear" w:color="auto" w:fill="auto"/>
            <w:tcMar>
              <w:top w:w="100" w:type="dxa"/>
              <w:left w:w="100" w:type="dxa"/>
              <w:bottom w:w="100" w:type="dxa"/>
              <w:right w:w="100" w:type="dxa"/>
            </w:tcMar>
          </w:tcPr>
          <w:p w14:paraId="22677F4A" w14:textId="77777777" w:rsidR="00895B32" w:rsidRDefault="00000000">
            <w:pPr>
              <w:widowControl w:val="0"/>
              <w:spacing w:line="240" w:lineRule="auto"/>
              <w:jc w:val="center"/>
            </w:pPr>
            <w:r>
              <w:t xml:space="preserve">Newborns with </w:t>
            </w:r>
            <w:r>
              <w:lastRenderedPageBreak/>
              <w:t>suspected genetic conditions</w:t>
            </w:r>
          </w:p>
        </w:tc>
        <w:tc>
          <w:tcPr>
            <w:tcW w:w="2445" w:type="dxa"/>
            <w:shd w:val="clear" w:color="auto" w:fill="auto"/>
            <w:tcMar>
              <w:top w:w="100" w:type="dxa"/>
              <w:left w:w="100" w:type="dxa"/>
              <w:bottom w:w="100" w:type="dxa"/>
              <w:right w:w="100" w:type="dxa"/>
            </w:tcMar>
          </w:tcPr>
          <w:p w14:paraId="778AF5E6" w14:textId="77777777" w:rsidR="00895B32" w:rsidRDefault="00000000">
            <w:pPr>
              <w:widowControl w:val="0"/>
              <w:spacing w:line="240" w:lineRule="auto"/>
              <w:jc w:val="center"/>
            </w:pPr>
            <w:r>
              <w:lastRenderedPageBreak/>
              <w:t>Germline GS</w:t>
            </w:r>
          </w:p>
        </w:tc>
      </w:tr>
      <w:tr w:rsidR="00895B32" w14:paraId="5E900B43" w14:textId="77777777">
        <w:tc>
          <w:tcPr>
            <w:tcW w:w="1515" w:type="dxa"/>
            <w:shd w:val="clear" w:color="auto" w:fill="auto"/>
            <w:tcMar>
              <w:top w:w="100" w:type="dxa"/>
              <w:left w:w="100" w:type="dxa"/>
              <w:bottom w:w="100" w:type="dxa"/>
              <w:right w:w="100" w:type="dxa"/>
            </w:tcMar>
          </w:tcPr>
          <w:p w14:paraId="4224FDA5" w14:textId="77777777" w:rsidR="00895B32" w:rsidRDefault="00000000">
            <w:pPr>
              <w:jc w:val="center"/>
            </w:pPr>
            <w:hyperlink r:id="rId14">
              <w:r>
                <w:rPr>
                  <w:color w:val="1155CC"/>
                  <w:u w:val="single"/>
                </w:rPr>
                <w:t>ClinSeq</w:t>
              </w:r>
            </w:hyperlink>
          </w:p>
        </w:tc>
        <w:tc>
          <w:tcPr>
            <w:tcW w:w="1845" w:type="dxa"/>
            <w:shd w:val="clear" w:color="auto" w:fill="auto"/>
            <w:tcMar>
              <w:top w:w="100" w:type="dxa"/>
              <w:left w:w="100" w:type="dxa"/>
              <w:bottom w:w="100" w:type="dxa"/>
              <w:right w:w="100" w:type="dxa"/>
            </w:tcMar>
          </w:tcPr>
          <w:p w14:paraId="20237584" w14:textId="77777777" w:rsidR="00895B32" w:rsidRDefault="00000000">
            <w:pPr>
              <w:widowControl w:val="0"/>
              <w:spacing w:line="240" w:lineRule="auto"/>
              <w:jc w:val="center"/>
            </w:pPr>
            <w:r>
              <w:t>NHGRI</w:t>
            </w:r>
          </w:p>
        </w:tc>
        <w:tc>
          <w:tcPr>
            <w:tcW w:w="1230" w:type="dxa"/>
            <w:shd w:val="clear" w:color="auto" w:fill="auto"/>
            <w:tcMar>
              <w:top w:w="100" w:type="dxa"/>
              <w:left w:w="100" w:type="dxa"/>
              <w:bottom w:w="100" w:type="dxa"/>
              <w:right w:w="100" w:type="dxa"/>
            </w:tcMar>
          </w:tcPr>
          <w:p w14:paraId="0B6002E0" w14:textId="77777777" w:rsidR="00895B32" w:rsidRDefault="00000000">
            <w:pPr>
              <w:widowControl w:val="0"/>
              <w:spacing w:line="240" w:lineRule="auto"/>
              <w:jc w:val="center"/>
            </w:pPr>
            <w:r>
              <w:t>cseq</w:t>
            </w:r>
          </w:p>
        </w:tc>
        <w:tc>
          <w:tcPr>
            <w:tcW w:w="2325" w:type="dxa"/>
            <w:shd w:val="clear" w:color="auto" w:fill="auto"/>
            <w:tcMar>
              <w:top w:w="100" w:type="dxa"/>
              <w:left w:w="100" w:type="dxa"/>
              <w:bottom w:w="100" w:type="dxa"/>
              <w:right w:w="100" w:type="dxa"/>
            </w:tcMar>
          </w:tcPr>
          <w:p w14:paraId="7D5B0E82" w14:textId="77777777" w:rsidR="00895B32" w:rsidRDefault="00000000">
            <w:pPr>
              <w:widowControl w:val="0"/>
              <w:spacing w:line="240" w:lineRule="auto"/>
              <w:jc w:val="center"/>
            </w:pPr>
            <w:r>
              <w:t>Healthy adults</w:t>
            </w:r>
          </w:p>
        </w:tc>
        <w:tc>
          <w:tcPr>
            <w:tcW w:w="2445" w:type="dxa"/>
            <w:shd w:val="clear" w:color="auto" w:fill="auto"/>
            <w:tcMar>
              <w:top w:w="100" w:type="dxa"/>
              <w:left w:w="100" w:type="dxa"/>
              <w:bottom w:w="100" w:type="dxa"/>
              <w:right w:w="100" w:type="dxa"/>
            </w:tcMar>
          </w:tcPr>
          <w:p w14:paraId="294887D7" w14:textId="77777777" w:rsidR="00895B32" w:rsidRDefault="00000000">
            <w:pPr>
              <w:widowControl w:val="0"/>
              <w:spacing w:line="240" w:lineRule="auto"/>
              <w:jc w:val="center"/>
            </w:pPr>
            <w:r>
              <w:t>Germline ES</w:t>
            </w:r>
          </w:p>
        </w:tc>
      </w:tr>
    </w:tbl>
    <w:p w14:paraId="570CE01B" w14:textId="77777777" w:rsidR="00895B32" w:rsidRDefault="00000000">
      <w:pPr>
        <w:pStyle w:val="Heading1"/>
      </w:pPr>
      <w:bookmarkStart w:id="5" w:name="_4r6f79muv86o" w:colFirst="0" w:colLast="0"/>
      <w:bookmarkEnd w:id="5"/>
      <w:r>
        <w:t>Shared dataset descriptions</w:t>
      </w:r>
    </w:p>
    <w:p w14:paraId="23FE52B0" w14:textId="77777777" w:rsidR="00895B32" w:rsidRDefault="00000000">
      <w:r>
        <w:t xml:space="preserve">The three types of non-sequence data available for download on the AnVIL are the Harmonized Survey Measures and Outcomes (or </w:t>
      </w:r>
      <w:r>
        <w:rPr>
          <w:b/>
        </w:rPr>
        <w:t>“Harmonized Measures”</w:t>
      </w:r>
      <w:r>
        <w:t xml:space="preserve">), the Participant-level/Case-level sequencing metrics from the Quarterly Progress Report (or </w:t>
      </w:r>
      <w:r>
        <w:rPr>
          <w:b/>
        </w:rPr>
        <w:t>“Sequencing Metrics”</w:t>
      </w:r>
      <w:r>
        <w:t xml:space="preserve">), and sequence data/metadata. All CSER Harmonized measures and Sequencing Metrics are documented in the </w:t>
      </w:r>
      <w:hyperlink r:id="rId15">
        <w:r>
          <w:rPr>
            <w:color w:val="1155CC"/>
            <w:u w:val="single"/>
          </w:rPr>
          <w:t>Resources</w:t>
        </w:r>
      </w:hyperlink>
      <w:r>
        <w:t xml:space="preserve"> section of the CSER home page on the AnVIL website.</w:t>
      </w:r>
    </w:p>
    <w:p w14:paraId="6EB6EC79" w14:textId="77777777" w:rsidR="00895B32" w:rsidRDefault="00895B32"/>
    <w:p w14:paraId="7A9AC32F" w14:textId="77777777" w:rsidR="00895B32" w:rsidRDefault="00000000">
      <w:r>
        <w:t>Record counts for each data type and subtype in the final version of all datasets (“Freeze 3”) for each CSER project are listed in the following table:</w:t>
      </w:r>
    </w:p>
    <w:p w14:paraId="1E3ECB33" w14:textId="77777777" w:rsidR="00895B32" w:rsidRDefault="00895B32"/>
    <w:p w14:paraId="6A06375F" w14:textId="77777777" w:rsidR="00895B32" w:rsidRDefault="00895B32"/>
    <w:tbl>
      <w:tblPr>
        <w:tblStyle w:val="a0"/>
        <w:tblW w:w="90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80"/>
        <w:gridCol w:w="810"/>
        <w:gridCol w:w="720"/>
        <w:gridCol w:w="765"/>
        <w:gridCol w:w="720"/>
        <w:gridCol w:w="735"/>
        <w:gridCol w:w="765"/>
        <w:gridCol w:w="810"/>
        <w:gridCol w:w="945"/>
      </w:tblGrid>
      <w:tr w:rsidR="00895B32" w14:paraId="7F3E224B" w14:textId="77777777">
        <w:tc>
          <w:tcPr>
            <w:tcW w:w="1440" w:type="dxa"/>
            <w:shd w:val="clear" w:color="auto" w:fill="auto"/>
            <w:tcMar>
              <w:top w:w="100" w:type="dxa"/>
              <w:left w:w="100" w:type="dxa"/>
              <w:bottom w:w="100" w:type="dxa"/>
              <w:right w:w="100" w:type="dxa"/>
            </w:tcMar>
          </w:tcPr>
          <w:p w14:paraId="0B871B2B" w14:textId="77777777" w:rsidR="00895B32" w:rsidRDefault="00000000">
            <w:pPr>
              <w:widowControl w:val="0"/>
              <w:pBdr>
                <w:top w:val="nil"/>
                <w:left w:val="nil"/>
                <w:bottom w:val="nil"/>
                <w:right w:val="nil"/>
                <w:between w:val="nil"/>
              </w:pBdr>
              <w:spacing w:line="240" w:lineRule="auto"/>
              <w:jc w:val="center"/>
              <w:rPr>
                <w:b/>
              </w:rPr>
            </w:pPr>
            <w:r>
              <w:rPr>
                <w:b/>
              </w:rPr>
              <w:t>Data Type</w:t>
            </w:r>
          </w:p>
        </w:tc>
        <w:tc>
          <w:tcPr>
            <w:tcW w:w="1380" w:type="dxa"/>
            <w:shd w:val="clear" w:color="auto" w:fill="auto"/>
            <w:tcMar>
              <w:top w:w="100" w:type="dxa"/>
              <w:left w:w="100" w:type="dxa"/>
              <w:bottom w:w="100" w:type="dxa"/>
              <w:right w:w="100" w:type="dxa"/>
            </w:tcMar>
          </w:tcPr>
          <w:p w14:paraId="592A0A6D" w14:textId="77777777" w:rsidR="00895B32" w:rsidRDefault="00000000">
            <w:pPr>
              <w:widowControl w:val="0"/>
              <w:pBdr>
                <w:top w:val="nil"/>
                <w:left w:val="nil"/>
                <w:bottom w:val="nil"/>
                <w:right w:val="nil"/>
                <w:between w:val="nil"/>
              </w:pBdr>
              <w:spacing w:line="240" w:lineRule="auto"/>
              <w:jc w:val="center"/>
              <w:rPr>
                <w:b/>
              </w:rPr>
            </w:pPr>
            <w:r>
              <w:rPr>
                <w:b/>
              </w:rPr>
              <w:t>Subtype</w:t>
            </w:r>
          </w:p>
        </w:tc>
        <w:tc>
          <w:tcPr>
            <w:tcW w:w="810" w:type="dxa"/>
            <w:shd w:val="clear" w:color="auto" w:fill="auto"/>
            <w:tcMar>
              <w:top w:w="100" w:type="dxa"/>
              <w:left w:w="100" w:type="dxa"/>
              <w:bottom w:w="100" w:type="dxa"/>
              <w:right w:w="100" w:type="dxa"/>
            </w:tcMar>
          </w:tcPr>
          <w:p w14:paraId="3CDECE37" w14:textId="77777777" w:rsidR="00895B32" w:rsidRDefault="00000000">
            <w:pPr>
              <w:widowControl w:val="0"/>
              <w:pBdr>
                <w:top w:val="nil"/>
                <w:left w:val="nil"/>
                <w:bottom w:val="nil"/>
                <w:right w:val="nil"/>
                <w:between w:val="nil"/>
              </w:pBdr>
              <w:spacing w:line="240" w:lineRule="auto"/>
              <w:jc w:val="center"/>
              <w:rPr>
                <w:b/>
              </w:rPr>
            </w:pPr>
            <w:r>
              <w:rPr>
                <w:b/>
              </w:rPr>
              <w:t>kfri</w:t>
            </w:r>
          </w:p>
        </w:tc>
        <w:tc>
          <w:tcPr>
            <w:tcW w:w="720" w:type="dxa"/>
            <w:shd w:val="clear" w:color="auto" w:fill="auto"/>
            <w:tcMar>
              <w:top w:w="100" w:type="dxa"/>
              <w:left w:w="100" w:type="dxa"/>
              <w:bottom w:w="100" w:type="dxa"/>
              <w:right w:w="100" w:type="dxa"/>
            </w:tcMar>
          </w:tcPr>
          <w:p w14:paraId="4A99ECEC" w14:textId="77777777" w:rsidR="00895B32" w:rsidRDefault="00000000">
            <w:pPr>
              <w:widowControl w:val="0"/>
              <w:pBdr>
                <w:top w:val="nil"/>
                <w:left w:val="nil"/>
                <w:bottom w:val="nil"/>
                <w:right w:val="nil"/>
                <w:between w:val="nil"/>
              </w:pBdr>
              <w:spacing w:line="240" w:lineRule="auto"/>
              <w:jc w:val="center"/>
              <w:rPr>
                <w:b/>
              </w:rPr>
            </w:pPr>
            <w:r>
              <w:rPr>
                <w:b/>
              </w:rPr>
              <w:t>bcm</w:t>
            </w:r>
          </w:p>
        </w:tc>
        <w:tc>
          <w:tcPr>
            <w:tcW w:w="765" w:type="dxa"/>
            <w:shd w:val="clear" w:color="auto" w:fill="auto"/>
            <w:tcMar>
              <w:top w:w="100" w:type="dxa"/>
              <w:left w:w="100" w:type="dxa"/>
              <w:bottom w:w="100" w:type="dxa"/>
              <w:right w:w="100" w:type="dxa"/>
            </w:tcMar>
          </w:tcPr>
          <w:p w14:paraId="0E22E484" w14:textId="77777777" w:rsidR="00895B32" w:rsidRDefault="00000000">
            <w:pPr>
              <w:widowControl w:val="0"/>
              <w:pBdr>
                <w:top w:val="nil"/>
                <w:left w:val="nil"/>
                <w:bottom w:val="nil"/>
                <w:right w:val="nil"/>
                <w:between w:val="nil"/>
              </w:pBdr>
              <w:spacing w:line="240" w:lineRule="auto"/>
              <w:jc w:val="center"/>
              <w:rPr>
                <w:b/>
              </w:rPr>
            </w:pPr>
            <w:r>
              <w:rPr>
                <w:b/>
              </w:rPr>
              <w:t>ncch</w:t>
            </w:r>
          </w:p>
        </w:tc>
        <w:tc>
          <w:tcPr>
            <w:tcW w:w="720" w:type="dxa"/>
            <w:shd w:val="clear" w:color="auto" w:fill="auto"/>
            <w:tcMar>
              <w:top w:w="100" w:type="dxa"/>
              <w:left w:w="100" w:type="dxa"/>
              <w:bottom w:w="100" w:type="dxa"/>
              <w:right w:w="100" w:type="dxa"/>
            </w:tcMar>
          </w:tcPr>
          <w:p w14:paraId="6BA55A11" w14:textId="77777777" w:rsidR="00895B32" w:rsidRDefault="00000000">
            <w:pPr>
              <w:widowControl w:val="0"/>
              <w:pBdr>
                <w:top w:val="nil"/>
                <w:left w:val="nil"/>
                <w:bottom w:val="nil"/>
                <w:right w:val="nil"/>
                <w:between w:val="nil"/>
              </w:pBdr>
              <w:spacing w:line="240" w:lineRule="auto"/>
              <w:jc w:val="center"/>
              <w:rPr>
                <w:b/>
              </w:rPr>
            </w:pPr>
            <w:r>
              <w:rPr>
                <w:b/>
              </w:rPr>
              <w:t>mtsi</w:t>
            </w:r>
          </w:p>
        </w:tc>
        <w:tc>
          <w:tcPr>
            <w:tcW w:w="735" w:type="dxa"/>
            <w:shd w:val="clear" w:color="auto" w:fill="auto"/>
            <w:tcMar>
              <w:top w:w="100" w:type="dxa"/>
              <w:left w:w="100" w:type="dxa"/>
              <w:bottom w:w="100" w:type="dxa"/>
              <w:right w:w="100" w:type="dxa"/>
            </w:tcMar>
          </w:tcPr>
          <w:p w14:paraId="417D2E45" w14:textId="77777777" w:rsidR="00895B32" w:rsidRDefault="00000000">
            <w:pPr>
              <w:widowControl w:val="0"/>
              <w:pBdr>
                <w:top w:val="nil"/>
                <w:left w:val="nil"/>
                <w:bottom w:val="nil"/>
                <w:right w:val="nil"/>
                <w:between w:val="nil"/>
              </w:pBdr>
              <w:spacing w:line="240" w:lineRule="auto"/>
              <w:jc w:val="center"/>
              <w:rPr>
                <w:b/>
              </w:rPr>
            </w:pPr>
            <w:r>
              <w:rPr>
                <w:b/>
              </w:rPr>
              <w:t>ucsf</w:t>
            </w:r>
          </w:p>
        </w:tc>
        <w:tc>
          <w:tcPr>
            <w:tcW w:w="765" w:type="dxa"/>
            <w:shd w:val="clear" w:color="auto" w:fill="auto"/>
            <w:tcMar>
              <w:top w:w="100" w:type="dxa"/>
              <w:left w:w="100" w:type="dxa"/>
              <w:bottom w:w="100" w:type="dxa"/>
              <w:right w:w="100" w:type="dxa"/>
            </w:tcMar>
          </w:tcPr>
          <w:p w14:paraId="7A64DCB6" w14:textId="77777777" w:rsidR="00895B32" w:rsidRDefault="00000000">
            <w:pPr>
              <w:widowControl w:val="0"/>
              <w:pBdr>
                <w:top w:val="nil"/>
                <w:left w:val="nil"/>
                <w:bottom w:val="nil"/>
                <w:right w:val="nil"/>
                <w:between w:val="nil"/>
              </w:pBdr>
              <w:spacing w:line="240" w:lineRule="auto"/>
              <w:jc w:val="center"/>
              <w:rPr>
                <w:b/>
              </w:rPr>
            </w:pPr>
            <w:r>
              <w:rPr>
                <w:b/>
              </w:rPr>
              <w:t>haib</w:t>
            </w:r>
          </w:p>
        </w:tc>
        <w:tc>
          <w:tcPr>
            <w:tcW w:w="810" w:type="dxa"/>
            <w:shd w:val="clear" w:color="auto" w:fill="auto"/>
            <w:tcMar>
              <w:top w:w="100" w:type="dxa"/>
              <w:left w:w="100" w:type="dxa"/>
              <w:bottom w:w="100" w:type="dxa"/>
              <w:right w:w="100" w:type="dxa"/>
            </w:tcMar>
          </w:tcPr>
          <w:p w14:paraId="0A74358C" w14:textId="77777777" w:rsidR="00895B32" w:rsidRDefault="00000000">
            <w:pPr>
              <w:widowControl w:val="0"/>
              <w:pBdr>
                <w:top w:val="nil"/>
                <w:left w:val="nil"/>
                <w:bottom w:val="nil"/>
                <w:right w:val="nil"/>
                <w:between w:val="nil"/>
              </w:pBdr>
              <w:spacing w:line="240" w:lineRule="auto"/>
              <w:jc w:val="center"/>
              <w:rPr>
                <w:b/>
              </w:rPr>
            </w:pPr>
            <w:r>
              <w:rPr>
                <w:b/>
              </w:rPr>
              <w:t>cseq</w:t>
            </w:r>
          </w:p>
        </w:tc>
        <w:tc>
          <w:tcPr>
            <w:tcW w:w="945" w:type="dxa"/>
            <w:shd w:val="clear" w:color="auto" w:fill="auto"/>
            <w:tcMar>
              <w:top w:w="100" w:type="dxa"/>
              <w:left w:w="100" w:type="dxa"/>
              <w:bottom w:w="100" w:type="dxa"/>
              <w:right w:w="100" w:type="dxa"/>
            </w:tcMar>
          </w:tcPr>
          <w:p w14:paraId="2736E00D" w14:textId="77777777" w:rsidR="00895B32" w:rsidRDefault="00000000">
            <w:pPr>
              <w:widowControl w:val="0"/>
              <w:pBdr>
                <w:top w:val="nil"/>
                <w:left w:val="nil"/>
                <w:bottom w:val="nil"/>
                <w:right w:val="nil"/>
                <w:between w:val="nil"/>
              </w:pBdr>
              <w:spacing w:line="240" w:lineRule="auto"/>
              <w:jc w:val="center"/>
              <w:rPr>
                <w:b/>
              </w:rPr>
            </w:pPr>
            <w:r>
              <w:rPr>
                <w:b/>
              </w:rPr>
              <w:t>Total</w:t>
            </w:r>
          </w:p>
        </w:tc>
      </w:tr>
      <w:tr w:rsidR="00895B32" w14:paraId="7206D38A" w14:textId="77777777">
        <w:trPr>
          <w:trHeight w:val="420"/>
        </w:trPr>
        <w:tc>
          <w:tcPr>
            <w:tcW w:w="1440" w:type="dxa"/>
            <w:vMerge w:val="restart"/>
            <w:shd w:val="clear" w:color="auto" w:fill="auto"/>
            <w:tcMar>
              <w:top w:w="100" w:type="dxa"/>
              <w:left w:w="100" w:type="dxa"/>
              <w:bottom w:w="100" w:type="dxa"/>
              <w:right w:w="100" w:type="dxa"/>
            </w:tcMar>
          </w:tcPr>
          <w:p w14:paraId="0DB693B5" w14:textId="77777777" w:rsidR="00895B32" w:rsidRDefault="00000000">
            <w:pPr>
              <w:widowControl w:val="0"/>
              <w:pBdr>
                <w:top w:val="nil"/>
                <w:left w:val="nil"/>
                <w:bottom w:val="nil"/>
                <w:right w:val="nil"/>
                <w:between w:val="nil"/>
              </w:pBdr>
              <w:spacing w:line="240" w:lineRule="auto"/>
            </w:pPr>
            <w:r>
              <w:t>Harmonized Measures</w:t>
            </w:r>
          </w:p>
        </w:tc>
        <w:tc>
          <w:tcPr>
            <w:tcW w:w="1380" w:type="dxa"/>
            <w:shd w:val="clear" w:color="auto" w:fill="auto"/>
            <w:tcMar>
              <w:top w:w="100" w:type="dxa"/>
              <w:left w:w="100" w:type="dxa"/>
              <w:bottom w:w="100" w:type="dxa"/>
              <w:right w:w="100" w:type="dxa"/>
            </w:tcMar>
          </w:tcPr>
          <w:p w14:paraId="304D2EFE" w14:textId="77777777" w:rsidR="00895B32" w:rsidRDefault="00000000">
            <w:pPr>
              <w:widowControl w:val="0"/>
              <w:pBdr>
                <w:top w:val="nil"/>
                <w:left w:val="nil"/>
                <w:bottom w:val="nil"/>
                <w:right w:val="nil"/>
                <w:between w:val="nil"/>
              </w:pBdr>
              <w:spacing w:line="240" w:lineRule="auto"/>
            </w:pPr>
            <w:r>
              <w:t>Baseline</w:t>
            </w:r>
          </w:p>
        </w:tc>
        <w:tc>
          <w:tcPr>
            <w:tcW w:w="810" w:type="dxa"/>
            <w:shd w:val="clear" w:color="auto" w:fill="auto"/>
            <w:tcMar>
              <w:top w:w="100" w:type="dxa"/>
              <w:left w:w="100" w:type="dxa"/>
              <w:bottom w:w="100" w:type="dxa"/>
              <w:right w:w="100" w:type="dxa"/>
            </w:tcMar>
          </w:tcPr>
          <w:p w14:paraId="1C108E82" w14:textId="77777777" w:rsidR="00895B32" w:rsidRDefault="00000000">
            <w:pPr>
              <w:widowControl w:val="0"/>
              <w:pBdr>
                <w:top w:val="nil"/>
                <w:left w:val="nil"/>
                <w:bottom w:val="nil"/>
                <w:right w:val="nil"/>
                <w:between w:val="nil"/>
              </w:pBdr>
              <w:spacing w:line="240" w:lineRule="auto"/>
            </w:pPr>
            <w:r>
              <w:t>941</w:t>
            </w:r>
          </w:p>
        </w:tc>
        <w:tc>
          <w:tcPr>
            <w:tcW w:w="720" w:type="dxa"/>
            <w:shd w:val="clear" w:color="auto" w:fill="auto"/>
            <w:tcMar>
              <w:top w:w="100" w:type="dxa"/>
              <w:left w:w="100" w:type="dxa"/>
              <w:bottom w:w="100" w:type="dxa"/>
              <w:right w:w="100" w:type="dxa"/>
            </w:tcMar>
          </w:tcPr>
          <w:p w14:paraId="4237C899" w14:textId="77777777" w:rsidR="00895B32" w:rsidRDefault="00000000">
            <w:pPr>
              <w:widowControl w:val="0"/>
              <w:pBdr>
                <w:top w:val="nil"/>
                <w:left w:val="nil"/>
                <w:bottom w:val="nil"/>
                <w:right w:val="nil"/>
                <w:between w:val="nil"/>
              </w:pBdr>
              <w:spacing w:line="240" w:lineRule="auto"/>
            </w:pPr>
            <w:r>
              <w:t>589</w:t>
            </w:r>
          </w:p>
        </w:tc>
        <w:tc>
          <w:tcPr>
            <w:tcW w:w="765" w:type="dxa"/>
            <w:shd w:val="clear" w:color="auto" w:fill="auto"/>
            <w:tcMar>
              <w:top w:w="100" w:type="dxa"/>
              <w:left w:w="100" w:type="dxa"/>
              <w:bottom w:w="100" w:type="dxa"/>
              <w:right w:w="100" w:type="dxa"/>
            </w:tcMar>
          </w:tcPr>
          <w:p w14:paraId="71177856" w14:textId="77777777" w:rsidR="00895B32" w:rsidRDefault="00000000">
            <w:pPr>
              <w:widowControl w:val="0"/>
              <w:pBdr>
                <w:top w:val="nil"/>
                <w:left w:val="nil"/>
                <w:bottom w:val="nil"/>
                <w:right w:val="nil"/>
                <w:between w:val="nil"/>
              </w:pBdr>
              <w:spacing w:line="240" w:lineRule="auto"/>
            </w:pPr>
            <w:r>
              <w:t>241</w:t>
            </w:r>
          </w:p>
        </w:tc>
        <w:tc>
          <w:tcPr>
            <w:tcW w:w="720" w:type="dxa"/>
            <w:shd w:val="clear" w:color="auto" w:fill="auto"/>
            <w:tcMar>
              <w:top w:w="100" w:type="dxa"/>
              <w:left w:w="100" w:type="dxa"/>
              <w:bottom w:w="100" w:type="dxa"/>
              <w:right w:w="100" w:type="dxa"/>
            </w:tcMar>
          </w:tcPr>
          <w:p w14:paraId="2C706485" w14:textId="77777777" w:rsidR="00895B32" w:rsidRDefault="00000000">
            <w:pPr>
              <w:widowControl w:val="0"/>
              <w:pBdr>
                <w:top w:val="nil"/>
                <w:left w:val="nil"/>
                <w:bottom w:val="nil"/>
                <w:right w:val="nil"/>
                <w:between w:val="nil"/>
              </w:pBdr>
              <w:spacing w:line="240" w:lineRule="auto"/>
            </w:pPr>
            <w:r>
              <w:t>718</w:t>
            </w:r>
          </w:p>
        </w:tc>
        <w:tc>
          <w:tcPr>
            <w:tcW w:w="735" w:type="dxa"/>
            <w:shd w:val="clear" w:color="auto" w:fill="auto"/>
            <w:tcMar>
              <w:top w:w="100" w:type="dxa"/>
              <w:left w:w="100" w:type="dxa"/>
              <w:bottom w:w="100" w:type="dxa"/>
              <w:right w:w="100" w:type="dxa"/>
            </w:tcMar>
          </w:tcPr>
          <w:p w14:paraId="6ECCFDBB" w14:textId="77777777" w:rsidR="00895B32" w:rsidRDefault="00000000">
            <w:pPr>
              <w:widowControl w:val="0"/>
              <w:pBdr>
                <w:top w:val="nil"/>
                <w:left w:val="nil"/>
                <w:bottom w:val="nil"/>
                <w:right w:val="nil"/>
                <w:between w:val="nil"/>
              </w:pBdr>
              <w:spacing w:line="240" w:lineRule="auto"/>
            </w:pPr>
            <w:r>
              <w:t>530</w:t>
            </w:r>
          </w:p>
        </w:tc>
        <w:tc>
          <w:tcPr>
            <w:tcW w:w="765" w:type="dxa"/>
            <w:shd w:val="clear" w:color="auto" w:fill="auto"/>
            <w:tcMar>
              <w:top w:w="100" w:type="dxa"/>
              <w:left w:w="100" w:type="dxa"/>
              <w:bottom w:w="100" w:type="dxa"/>
              <w:right w:w="100" w:type="dxa"/>
            </w:tcMar>
          </w:tcPr>
          <w:p w14:paraId="492EF0B6" w14:textId="77777777" w:rsidR="00895B32" w:rsidRDefault="00000000">
            <w:pPr>
              <w:widowControl w:val="0"/>
              <w:pBdr>
                <w:top w:val="nil"/>
                <w:left w:val="nil"/>
                <w:bottom w:val="nil"/>
                <w:right w:val="nil"/>
                <w:between w:val="nil"/>
              </w:pBdr>
              <w:spacing w:line="240" w:lineRule="auto"/>
            </w:pPr>
            <w:r>
              <w:t>537</w:t>
            </w:r>
          </w:p>
        </w:tc>
        <w:tc>
          <w:tcPr>
            <w:tcW w:w="810" w:type="dxa"/>
            <w:shd w:val="clear" w:color="auto" w:fill="auto"/>
            <w:tcMar>
              <w:top w:w="100" w:type="dxa"/>
              <w:left w:w="100" w:type="dxa"/>
              <w:bottom w:w="100" w:type="dxa"/>
              <w:right w:w="100" w:type="dxa"/>
            </w:tcMar>
          </w:tcPr>
          <w:p w14:paraId="28D540AC" w14:textId="77777777" w:rsidR="00895B32" w:rsidRDefault="00000000">
            <w:pPr>
              <w:widowControl w:val="0"/>
              <w:pBdr>
                <w:top w:val="nil"/>
                <w:left w:val="nil"/>
                <w:bottom w:val="nil"/>
                <w:right w:val="nil"/>
                <w:between w:val="nil"/>
              </w:pBdr>
              <w:spacing w:line="240" w:lineRule="auto"/>
            </w:pPr>
            <w:r>
              <w:t>408</w:t>
            </w:r>
          </w:p>
        </w:tc>
        <w:tc>
          <w:tcPr>
            <w:tcW w:w="945" w:type="dxa"/>
            <w:shd w:val="clear" w:color="auto" w:fill="auto"/>
            <w:tcMar>
              <w:top w:w="100" w:type="dxa"/>
              <w:left w:w="100" w:type="dxa"/>
              <w:bottom w:w="100" w:type="dxa"/>
              <w:right w:w="100" w:type="dxa"/>
            </w:tcMar>
          </w:tcPr>
          <w:p w14:paraId="181ED610" w14:textId="77777777" w:rsidR="00895B32" w:rsidRDefault="00000000">
            <w:pPr>
              <w:widowControl w:val="0"/>
              <w:pBdr>
                <w:top w:val="nil"/>
                <w:left w:val="nil"/>
                <w:bottom w:val="nil"/>
                <w:right w:val="nil"/>
                <w:between w:val="nil"/>
              </w:pBdr>
              <w:spacing w:line="240" w:lineRule="auto"/>
            </w:pPr>
            <w:r>
              <w:t>3964</w:t>
            </w:r>
          </w:p>
        </w:tc>
      </w:tr>
      <w:tr w:rsidR="00895B32" w14:paraId="55241C9D" w14:textId="77777777">
        <w:trPr>
          <w:trHeight w:val="420"/>
        </w:trPr>
        <w:tc>
          <w:tcPr>
            <w:tcW w:w="1440" w:type="dxa"/>
            <w:vMerge/>
            <w:shd w:val="clear" w:color="auto" w:fill="auto"/>
            <w:tcMar>
              <w:top w:w="100" w:type="dxa"/>
              <w:left w:w="100" w:type="dxa"/>
              <w:bottom w:w="100" w:type="dxa"/>
              <w:right w:w="100" w:type="dxa"/>
            </w:tcMar>
          </w:tcPr>
          <w:p w14:paraId="0AEE4A06" w14:textId="77777777" w:rsidR="00895B32" w:rsidRDefault="00895B32">
            <w:pPr>
              <w:widowControl w:val="0"/>
              <w:pBdr>
                <w:top w:val="nil"/>
                <w:left w:val="nil"/>
                <w:bottom w:val="nil"/>
                <w:right w:val="nil"/>
                <w:between w:val="nil"/>
              </w:pBdr>
              <w:spacing w:line="240" w:lineRule="auto"/>
            </w:pPr>
          </w:p>
        </w:tc>
        <w:tc>
          <w:tcPr>
            <w:tcW w:w="1380" w:type="dxa"/>
            <w:shd w:val="clear" w:color="auto" w:fill="auto"/>
            <w:tcMar>
              <w:top w:w="100" w:type="dxa"/>
              <w:left w:w="100" w:type="dxa"/>
              <w:bottom w:w="100" w:type="dxa"/>
              <w:right w:w="100" w:type="dxa"/>
            </w:tcMar>
          </w:tcPr>
          <w:p w14:paraId="729A8971" w14:textId="77777777" w:rsidR="00895B32" w:rsidRDefault="00000000">
            <w:pPr>
              <w:widowControl w:val="0"/>
              <w:pBdr>
                <w:top w:val="nil"/>
                <w:left w:val="nil"/>
                <w:bottom w:val="nil"/>
                <w:right w:val="nil"/>
                <w:between w:val="nil"/>
              </w:pBdr>
              <w:spacing w:line="240" w:lineRule="auto"/>
            </w:pPr>
            <w:r>
              <w:t>Participant ROR/FU1</w:t>
            </w:r>
          </w:p>
        </w:tc>
        <w:tc>
          <w:tcPr>
            <w:tcW w:w="810" w:type="dxa"/>
            <w:shd w:val="clear" w:color="auto" w:fill="auto"/>
            <w:tcMar>
              <w:top w:w="100" w:type="dxa"/>
              <w:left w:w="100" w:type="dxa"/>
              <w:bottom w:w="100" w:type="dxa"/>
              <w:right w:w="100" w:type="dxa"/>
            </w:tcMar>
          </w:tcPr>
          <w:p w14:paraId="2D9795E9" w14:textId="77777777" w:rsidR="00895B32" w:rsidRDefault="00000000">
            <w:pPr>
              <w:widowControl w:val="0"/>
              <w:pBdr>
                <w:top w:val="nil"/>
                <w:left w:val="nil"/>
                <w:bottom w:val="nil"/>
                <w:right w:val="nil"/>
                <w:between w:val="nil"/>
              </w:pBdr>
              <w:spacing w:line="240" w:lineRule="auto"/>
            </w:pPr>
            <w:r>
              <w:t>639</w:t>
            </w:r>
          </w:p>
        </w:tc>
        <w:tc>
          <w:tcPr>
            <w:tcW w:w="720" w:type="dxa"/>
            <w:shd w:val="clear" w:color="auto" w:fill="auto"/>
            <w:tcMar>
              <w:top w:w="100" w:type="dxa"/>
              <w:left w:w="100" w:type="dxa"/>
              <w:bottom w:w="100" w:type="dxa"/>
              <w:right w:w="100" w:type="dxa"/>
            </w:tcMar>
          </w:tcPr>
          <w:p w14:paraId="2B5EC7D0" w14:textId="77777777" w:rsidR="00895B32" w:rsidRDefault="00000000">
            <w:pPr>
              <w:widowControl w:val="0"/>
              <w:pBdr>
                <w:top w:val="nil"/>
                <w:left w:val="nil"/>
                <w:bottom w:val="nil"/>
                <w:right w:val="nil"/>
                <w:between w:val="nil"/>
              </w:pBdr>
              <w:spacing w:line="240" w:lineRule="auto"/>
            </w:pPr>
            <w:r>
              <w:t>224</w:t>
            </w:r>
          </w:p>
        </w:tc>
        <w:tc>
          <w:tcPr>
            <w:tcW w:w="765" w:type="dxa"/>
            <w:shd w:val="clear" w:color="auto" w:fill="auto"/>
            <w:tcMar>
              <w:top w:w="100" w:type="dxa"/>
              <w:left w:w="100" w:type="dxa"/>
              <w:bottom w:w="100" w:type="dxa"/>
              <w:right w:w="100" w:type="dxa"/>
            </w:tcMar>
          </w:tcPr>
          <w:p w14:paraId="6E244AEE" w14:textId="77777777" w:rsidR="00895B32" w:rsidRDefault="00000000">
            <w:pPr>
              <w:widowControl w:val="0"/>
              <w:pBdr>
                <w:top w:val="nil"/>
                <w:left w:val="nil"/>
                <w:bottom w:val="nil"/>
                <w:right w:val="nil"/>
                <w:between w:val="nil"/>
              </w:pBdr>
              <w:spacing w:line="240" w:lineRule="auto"/>
            </w:pPr>
            <w:r>
              <w:t>89</w:t>
            </w:r>
          </w:p>
        </w:tc>
        <w:tc>
          <w:tcPr>
            <w:tcW w:w="720" w:type="dxa"/>
            <w:shd w:val="clear" w:color="auto" w:fill="auto"/>
            <w:tcMar>
              <w:top w:w="100" w:type="dxa"/>
              <w:left w:w="100" w:type="dxa"/>
              <w:bottom w:w="100" w:type="dxa"/>
              <w:right w:w="100" w:type="dxa"/>
            </w:tcMar>
          </w:tcPr>
          <w:p w14:paraId="015B7A89" w14:textId="77777777" w:rsidR="00895B32" w:rsidRDefault="00000000">
            <w:pPr>
              <w:widowControl w:val="0"/>
              <w:pBdr>
                <w:top w:val="nil"/>
                <w:left w:val="nil"/>
                <w:bottom w:val="nil"/>
                <w:right w:val="nil"/>
                <w:between w:val="nil"/>
              </w:pBdr>
              <w:spacing w:line="240" w:lineRule="auto"/>
            </w:pPr>
            <w:r>
              <w:t>691</w:t>
            </w:r>
          </w:p>
        </w:tc>
        <w:tc>
          <w:tcPr>
            <w:tcW w:w="735" w:type="dxa"/>
            <w:shd w:val="clear" w:color="auto" w:fill="auto"/>
            <w:tcMar>
              <w:top w:w="100" w:type="dxa"/>
              <w:left w:w="100" w:type="dxa"/>
              <w:bottom w:w="100" w:type="dxa"/>
              <w:right w:w="100" w:type="dxa"/>
            </w:tcMar>
          </w:tcPr>
          <w:p w14:paraId="2D7886CE" w14:textId="77777777" w:rsidR="00895B32" w:rsidRDefault="00000000">
            <w:pPr>
              <w:widowControl w:val="0"/>
              <w:pBdr>
                <w:top w:val="nil"/>
                <w:left w:val="nil"/>
                <w:bottom w:val="nil"/>
                <w:right w:val="nil"/>
                <w:between w:val="nil"/>
              </w:pBdr>
              <w:spacing w:line="240" w:lineRule="auto"/>
            </w:pPr>
            <w:r>
              <w:t>301</w:t>
            </w:r>
          </w:p>
        </w:tc>
        <w:tc>
          <w:tcPr>
            <w:tcW w:w="765" w:type="dxa"/>
            <w:shd w:val="clear" w:color="auto" w:fill="auto"/>
            <w:tcMar>
              <w:top w:w="100" w:type="dxa"/>
              <w:left w:w="100" w:type="dxa"/>
              <w:bottom w:w="100" w:type="dxa"/>
              <w:right w:w="100" w:type="dxa"/>
            </w:tcMar>
          </w:tcPr>
          <w:p w14:paraId="03D846B0" w14:textId="77777777" w:rsidR="00895B32" w:rsidRDefault="00000000">
            <w:pPr>
              <w:widowControl w:val="0"/>
              <w:pBdr>
                <w:top w:val="nil"/>
                <w:left w:val="nil"/>
                <w:bottom w:val="nil"/>
                <w:right w:val="nil"/>
                <w:between w:val="nil"/>
              </w:pBdr>
              <w:spacing w:line="240" w:lineRule="auto"/>
            </w:pPr>
            <w:r>
              <w:t>191</w:t>
            </w:r>
          </w:p>
        </w:tc>
        <w:tc>
          <w:tcPr>
            <w:tcW w:w="810" w:type="dxa"/>
            <w:shd w:val="clear" w:color="auto" w:fill="auto"/>
            <w:tcMar>
              <w:top w:w="100" w:type="dxa"/>
              <w:left w:w="100" w:type="dxa"/>
              <w:bottom w:w="100" w:type="dxa"/>
              <w:right w:w="100" w:type="dxa"/>
            </w:tcMar>
          </w:tcPr>
          <w:p w14:paraId="1B1C6F3F" w14:textId="77777777" w:rsidR="00895B32" w:rsidRDefault="00000000">
            <w:pPr>
              <w:widowControl w:val="0"/>
              <w:pBdr>
                <w:top w:val="nil"/>
                <w:left w:val="nil"/>
                <w:bottom w:val="nil"/>
                <w:right w:val="nil"/>
                <w:between w:val="nil"/>
              </w:pBdr>
              <w:spacing w:line="240" w:lineRule="auto"/>
            </w:pPr>
            <w:r>
              <w:t>282</w:t>
            </w:r>
          </w:p>
        </w:tc>
        <w:tc>
          <w:tcPr>
            <w:tcW w:w="945" w:type="dxa"/>
            <w:shd w:val="clear" w:color="auto" w:fill="auto"/>
            <w:tcMar>
              <w:top w:w="100" w:type="dxa"/>
              <w:left w:w="100" w:type="dxa"/>
              <w:bottom w:w="100" w:type="dxa"/>
              <w:right w:w="100" w:type="dxa"/>
            </w:tcMar>
          </w:tcPr>
          <w:p w14:paraId="2CE4808B" w14:textId="77777777" w:rsidR="00895B32" w:rsidRDefault="00000000">
            <w:pPr>
              <w:widowControl w:val="0"/>
              <w:pBdr>
                <w:top w:val="nil"/>
                <w:left w:val="nil"/>
                <w:bottom w:val="nil"/>
                <w:right w:val="nil"/>
                <w:between w:val="nil"/>
              </w:pBdr>
              <w:spacing w:line="240" w:lineRule="auto"/>
            </w:pPr>
            <w:r>
              <w:t>2417</w:t>
            </w:r>
          </w:p>
        </w:tc>
      </w:tr>
      <w:tr w:rsidR="00895B32" w14:paraId="596DE202" w14:textId="77777777">
        <w:trPr>
          <w:trHeight w:val="420"/>
        </w:trPr>
        <w:tc>
          <w:tcPr>
            <w:tcW w:w="1440" w:type="dxa"/>
            <w:vMerge/>
            <w:shd w:val="clear" w:color="auto" w:fill="auto"/>
            <w:tcMar>
              <w:top w:w="100" w:type="dxa"/>
              <w:left w:w="100" w:type="dxa"/>
              <w:bottom w:w="100" w:type="dxa"/>
              <w:right w:w="100" w:type="dxa"/>
            </w:tcMar>
          </w:tcPr>
          <w:p w14:paraId="656A997F" w14:textId="77777777" w:rsidR="00895B32" w:rsidRDefault="00895B32">
            <w:pPr>
              <w:widowControl w:val="0"/>
              <w:pBdr>
                <w:top w:val="nil"/>
                <w:left w:val="nil"/>
                <w:bottom w:val="nil"/>
                <w:right w:val="nil"/>
                <w:between w:val="nil"/>
              </w:pBdr>
              <w:spacing w:line="240" w:lineRule="auto"/>
            </w:pPr>
          </w:p>
        </w:tc>
        <w:tc>
          <w:tcPr>
            <w:tcW w:w="1380" w:type="dxa"/>
            <w:shd w:val="clear" w:color="auto" w:fill="auto"/>
            <w:tcMar>
              <w:top w:w="100" w:type="dxa"/>
              <w:left w:w="100" w:type="dxa"/>
              <w:bottom w:w="100" w:type="dxa"/>
              <w:right w:w="100" w:type="dxa"/>
            </w:tcMar>
          </w:tcPr>
          <w:p w14:paraId="458F9938" w14:textId="77777777" w:rsidR="00895B32" w:rsidRDefault="00000000">
            <w:pPr>
              <w:widowControl w:val="0"/>
              <w:pBdr>
                <w:top w:val="nil"/>
                <w:left w:val="nil"/>
                <w:bottom w:val="nil"/>
                <w:right w:val="nil"/>
                <w:between w:val="nil"/>
              </w:pBdr>
              <w:spacing w:line="240" w:lineRule="auto"/>
            </w:pPr>
            <w:r>
              <w:t>Participant ROR/FU2</w:t>
            </w:r>
          </w:p>
        </w:tc>
        <w:tc>
          <w:tcPr>
            <w:tcW w:w="810" w:type="dxa"/>
            <w:shd w:val="clear" w:color="auto" w:fill="auto"/>
            <w:tcMar>
              <w:top w:w="100" w:type="dxa"/>
              <w:left w:w="100" w:type="dxa"/>
              <w:bottom w:w="100" w:type="dxa"/>
              <w:right w:w="100" w:type="dxa"/>
            </w:tcMar>
          </w:tcPr>
          <w:p w14:paraId="30F5CB64" w14:textId="77777777" w:rsidR="00895B32" w:rsidRDefault="00000000">
            <w:pPr>
              <w:widowControl w:val="0"/>
              <w:pBdr>
                <w:top w:val="nil"/>
                <w:left w:val="nil"/>
                <w:bottom w:val="nil"/>
                <w:right w:val="nil"/>
                <w:between w:val="nil"/>
              </w:pBdr>
              <w:spacing w:line="240" w:lineRule="auto"/>
            </w:pPr>
            <w:r>
              <w:t>595</w:t>
            </w:r>
          </w:p>
        </w:tc>
        <w:tc>
          <w:tcPr>
            <w:tcW w:w="720" w:type="dxa"/>
            <w:shd w:val="clear" w:color="auto" w:fill="auto"/>
            <w:tcMar>
              <w:top w:w="100" w:type="dxa"/>
              <w:left w:w="100" w:type="dxa"/>
              <w:bottom w:w="100" w:type="dxa"/>
              <w:right w:w="100" w:type="dxa"/>
            </w:tcMar>
          </w:tcPr>
          <w:p w14:paraId="60889132" w14:textId="77777777" w:rsidR="00895B32" w:rsidRDefault="00000000">
            <w:pPr>
              <w:widowControl w:val="0"/>
              <w:pBdr>
                <w:top w:val="nil"/>
                <w:left w:val="nil"/>
                <w:bottom w:val="nil"/>
                <w:right w:val="nil"/>
                <w:between w:val="nil"/>
              </w:pBdr>
              <w:spacing w:line="240" w:lineRule="auto"/>
            </w:pPr>
            <w:r>
              <w:t>162</w:t>
            </w:r>
          </w:p>
        </w:tc>
        <w:tc>
          <w:tcPr>
            <w:tcW w:w="765" w:type="dxa"/>
            <w:shd w:val="clear" w:color="auto" w:fill="auto"/>
            <w:tcMar>
              <w:top w:w="100" w:type="dxa"/>
              <w:left w:w="100" w:type="dxa"/>
              <w:bottom w:w="100" w:type="dxa"/>
              <w:right w:w="100" w:type="dxa"/>
            </w:tcMar>
          </w:tcPr>
          <w:p w14:paraId="72370B25" w14:textId="77777777" w:rsidR="00895B32" w:rsidRDefault="00000000">
            <w:pPr>
              <w:widowControl w:val="0"/>
              <w:pBdr>
                <w:top w:val="nil"/>
                <w:left w:val="nil"/>
                <w:bottom w:val="nil"/>
                <w:right w:val="nil"/>
                <w:between w:val="nil"/>
              </w:pBdr>
              <w:spacing w:line="240" w:lineRule="auto"/>
            </w:pPr>
            <w:r>
              <w:t>107</w:t>
            </w:r>
          </w:p>
        </w:tc>
        <w:tc>
          <w:tcPr>
            <w:tcW w:w="720" w:type="dxa"/>
            <w:shd w:val="clear" w:color="auto" w:fill="auto"/>
            <w:tcMar>
              <w:top w:w="100" w:type="dxa"/>
              <w:left w:w="100" w:type="dxa"/>
              <w:bottom w:w="100" w:type="dxa"/>
              <w:right w:w="100" w:type="dxa"/>
            </w:tcMar>
          </w:tcPr>
          <w:p w14:paraId="44B37E6E" w14:textId="77777777" w:rsidR="00895B32" w:rsidRDefault="00000000">
            <w:pPr>
              <w:widowControl w:val="0"/>
              <w:pBdr>
                <w:top w:val="nil"/>
                <w:left w:val="nil"/>
                <w:bottom w:val="nil"/>
                <w:right w:val="nil"/>
                <w:between w:val="nil"/>
              </w:pBdr>
              <w:spacing w:line="240" w:lineRule="auto"/>
            </w:pPr>
            <w:r>
              <w:t>636</w:t>
            </w:r>
          </w:p>
        </w:tc>
        <w:tc>
          <w:tcPr>
            <w:tcW w:w="735" w:type="dxa"/>
            <w:shd w:val="clear" w:color="auto" w:fill="auto"/>
            <w:tcMar>
              <w:top w:w="100" w:type="dxa"/>
              <w:left w:w="100" w:type="dxa"/>
              <w:bottom w:w="100" w:type="dxa"/>
              <w:right w:w="100" w:type="dxa"/>
            </w:tcMar>
          </w:tcPr>
          <w:p w14:paraId="350622B2" w14:textId="77777777" w:rsidR="00895B32" w:rsidRDefault="00000000">
            <w:pPr>
              <w:widowControl w:val="0"/>
              <w:pBdr>
                <w:top w:val="nil"/>
                <w:left w:val="nil"/>
                <w:bottom w:val="nil"/>
                <w:right w:val="nil"/>
                <w:between w:val="nil"/>
              </w:pBdr>
              <w:spacing w:line="240" w:lineRule="auto"/>
            </w:pPr>
            <w:r>
              <w:t>313</w:t>
            </w:r>
          </w:p>
        </w:tc>
        <w:tc>
          <w:tcPr>
            <w:tcW w:w="765" w:type="dxa"/>
            <w:shd w:val="clear" w:color="auto" w:fill="auto"/>
            <w:tcMar>
              <w:top w:w="100" w:type="dxa"/>
              <w:left w:w="100" w:type="dxa"/>
              <w:bottom w:w="100" w:type="dxa"/>
              <w:right w:w="100" w:type="dxa"/>
            </w:tcMar>
          </w:tcPr>
          <w:p w14:paraId="476DCD3F" w14:textId="77777777" w:rsidR="00895B32" w:rsidRDefault="00000000">
            <w:pPr>
              <w:widowControl w:val="0"/>
              <w:pBdr>
                <w:top w:val="nil"/>
                <w:left w:val="nil"/>
                <w:bottom w:val="nil"/>
                <w:right w:val="nil"/>
                <w:between w:val="nil"/>
              </w:pBdr>
              <w:spacing w:line="240" w:lineRule="auto"/>
            </w:pPr>
            <w:r>
              <w:t>154</w:t>
            </w:r>
          </w:p>
        </w:tc>
        <w:tc>
          <w:tcPr>
            <w:tcW w:w="810" w:type="dxa"/>
            <w:shd w:val="clear" w:color="auto" w:fill="auto"/>
            <w:tcMar>
              <w:top w:w="100" w:type="dxa"/>
              <w:left w:w="100" w:type="dxa"/>
              <w:bottom w:w="100" w:type="dxa"/>
              <w:right w:w="100" w:type="dxa"/>
            </w:tcMar>
          </w:tcPr>
          <w:p w14:paraId="5A67C7C5" w14:textId="77777777" w:rsidR="00895B32" w:rsidRDefault="00000000">
            <w:pPr>
              <w:widowControl w:val="0"/>
              <w:pBdr>
                <w:top w:val="nil"/>
                <w:left w:val="nil"/>
                <w:bottom w:val="nil"/>
                <w:right w:val="nil"/>
                <w:between w:val="nil"/>
              </w:pBdr>
              <w:spacing w:line="240" w:lineRule="auto"/>
            </w:pPr>
            <w:r>
              <w:t>4</w:t>
            </w:r>
          </w:p>
        </w:tc>
        <w:tc>
          <w:tcPr>
            <w:tcW w:w="945" w:type="dxa"/>
            <w:shd w:val="clear" w:color="auto" w:fill="auto"/>
            <w:tcMar>
              <w:top w:w="100" w:type="dxa"/>
              <w:left w:w="100" w:type="dxa"/>
              <w:bottom w:w="100" w:type="dxa"/>
              <w:right w:w="100" w:type="dxa"/>
            </w:tcMar>
          </w:tcPr>
          <w:p w14:paraId="5A67C142" w14:textId="77777777" w:rsidR="00895B32" w:rsidRDefault="00000000">
            <w:pPr>
              <w:widowControl w:val="0"/>
              <w:pBdr>
                <w:top w:val="nil"/>
                <w:left w:val="nil"/>
                <w:bottom w:val="nil"/>
                <w:right w:val="nil"/>
                <w:between w:val="nil"/>
              </w:pBdr>
              <w:spacing w:line="240" w:lineRule="auto"/>
            </w:pPr>
            <w:r>
              <w:t>1971</w:t>
            </w:r>
          </w:p>
        </w:tc>
      </w:tr>
      <w:tr w:rsidR="00895B32" w14:paraId="74546503" w14:textId="77777777">
        <w:trPr>
          <w:trHeight w:val="420"/>
        </w:trPr>
        <w:tc>
          <w:tcPr>
            <w:tcW w:w="1440" w:type="dxa"/>
            <w:vMerge/>
            <w:shd w:val="clear" w:color="auto" w:fill="auto"/>
            <w:tcMar>
              <w:top w:w="100" w:type="dxa"/>
              <w:left w:w="100" w:type="dxa"/>
              <w:bottom w:w="100" w:type="dxa"/>
              <w:right w:w="100" w:type="dxa"/>
            </w:tcMar>
          </w:tcPr>
          <w:p w14:paraId="6784492E" w14:textId="77777777" w:rsidR="00895B32" w:rsidRDefault="00895B32">
            <w:pPr>
              <w:widowControl w:val="0"/>
              <w:pBdr>
                <w:top w:val="nil"/>
                <w:left w:val="nil"/>
                <w:bottom w:val="nil"/>
                <w:right w:val="nil"/>
                <w:between w:val="nil"/>
              </w:pBdr>
              <w:spacing w:line="240" w:lineRule="auto"/>
            </w:pPr>
          </w:p>
        </w:tc>
        <w:tc>
          <w:tcPr>
            <w:tcW w:w="1380" w:type="dxa"/>
            <w:shd w:val="clear" w:color="auto" w:fill="auto"/>
            <w:tcMar>
              <w:top w:w="100" w:type="dxa"/>
              <w:left w:w="100" w:type="dxa"/>
              <w:bottom w:w="100" w:type="dxa"/>
              <w:right w:w="100" w:type="dxa"/>
            </w:tcMar>
          </w:tcPr>
          <w:p w14:paraId="58F85D79" w14:textId="77777777" w:rsidR="00895B32" w:rsidRDefault="00000000">
            <w:pPr>
              <w:widowControl w:val="0"/>
              <w:pBdr>
                <w:top w:val="nil"/>
                <w:left w:val="nil"/>
                <w:bottom w:val="nil"/>
                <w:right w:val="nil"/>
                <w:between w:val="nil"/>
              </w:pBdr>
              <w:spacing w:line="240" w:lineRule="auto"/>
            </w:pPr>
            <w:r>
              <w:t>Provider ROR/FU1</w:t>
            </w:r>
          </w:p>
        </w:tc>
        <w:tc>
          <w:tcPr>
            <w:tcW w:w="810" w:type="dxa"/>
            <w:shd w:val="clear" w:color="auto" w:fill="auto"/>
            <w:tcMar>
              <w:top w:w="100" w:type="dxa"/>
              <w:left w:w="100" w:type="dxa"/>
              <w:bottom w:w="100" w:type="dxa"/>
              <w:right w:w="100" w:type="dxa"/>
            </w:tcMar>
          </w:tcPr>
          <w:p w14:paraId="4B26DD26" w14:textId="77777777" w:rsidR="00895B32" w:rsidRDefault="00000000">
            <w:pPr>
              <w:widowControl w:val="0"/>
              <w:pBdr>
                <w:top w:val="nil"/>
                <w:left w:val="nil"/>
                <w:bottom w:val="nil"/>
                <w:right w:val="nil"/>
                <w:between w:val="nil"/>
              </w:pBdr>
              <w:spacing w:line="240" w:lineRule="auto"/>
            </w:pPr>
            <w:r>
              <w:t>164</w:t>
            </w:r>
          </w:p>
        </w:tc>
        <w:tc>
          <w:tcPr>
            <w:tcW w:w="720" w:type="dxa"/>
            <w:shd w:val="clear" w:color="auto" w:fill="auto"/>
            <w:tcMar>
              <w:top w:w="100" w:type="dxa"/>
              <w:left w:w="100" w:type="dxa"/>
              <w:bottom w:w="100" w:type="dxa"/>
              <w:right w:w="100" w:type="dxa"/>
            </w:tcMar>
          </w:tcPr>
          <w:p w14:paraId="2CFECDC0" w14:textId="77777777" w:rsidR="00895B32" w:rsidRDefault="00000000">
            <w:pPr>
              <w:widowControl w:val="0"/>
              <w:pBdr>
                <w:top w:val="nil"/>
                <w:left w:val="nil"/>
                <w:bottom w:val="nil"/>
                <w:right w:val="nil"/>
                <w:between w:val="nil"/>
              </w:pBdr>
              <w:spacing w:line="240" w:lineRule="auto"/>
            </w:pPr>
            <w:r>
              <w:t>199</w:t>
            </w:r>
          </w:p>
        </w:tc>
        <w:tc>
          <w:tcPr>
            <w:tcW w:w="765" w:type="dxa"/>
            <w:shd w:val="clear" w:color="auto" w:fill="auto"/>
            <w:tcMar>
              <w:top w:w="100" w:type="dxa"/>
              <w:left w:w="100" w:type="dxa"/>
              <w:bottom w:w="100" w:type="dxa"/>
              <w:right w:w="100" w:type="dxa"/>
            </w:tcMar>
          </w:tcPr>
          <w:p w14:paraId="46281B83" w14:textId="77777777" w:rsidR="00895B32" w:rsidRDefault="00000000">
            <w:pPr>
              <w:widowControl w:val="0"/>
              <w:pBdr>
                <w:top w:val="nil"/>
                <w:left w:val="nil"/>
                <w:bottom w:val="nil"/>
                <w:right w:val="nil"/>
                <w:between w:val="nil"/>
              </w:pBdr>
              <w:spacing w:line="240" w:lineRule="auto"/>
            </w:pPr>
            <w:r>
              <w:t>159</w:t>
            </w:r>
          </w:p>
        </w:tc>
        <w:tc>
          <w:tcPr>
            <w:tcW w:w="720" w:type="dxa"/>
            <w:shd w:val="clear" w:color="auto" w:fill="auto"/>
            <w:tcMar>
              <w:top w:w="100" w:type="dxa"/>
              <w:left w:w="100" w:type="dxa"/>
              <w:bottom w:w="100" w:type="dxa"/>
              <w:right w:w="100" w:type="dxa"/>
            </w:tcMar>
          </w:tcPr>
          <w:p w14:paraId="0BB4457D" w14:textId="77777777" w:rsidR="00895B32" w:rsidRDefault="00000000">
            <w:pPr>
              <w:widowControl w:val="0"/>
              <w:pBdr>
                <w:top w:val="nil"/>
                <w:left w:val="nil"/>
                <w:bottom w:val="nil"/>
                <w:right w:val="nil"/>
                <w:between w:val="nil"/>
              </w:pBdr>
              <w:spacing w:line="240" w:lineRule="auto"/>
            </w:pPr>
            <w:r>
              <w:t>8</w:t>
            </w:r>
          </w:p>
        </w:tc>
        <w:tc>
          <w:tcPr>
            <w:tcW w:w="735" w:type="dxa"/>
            <w:shd w:val="clear" w:color="auto" w:fill="auto"/>
            <w:tcMar>
              <w:top w:w="100" w:type="dxa"/>
              <w:left w:w="100" w:type="dxa"/>
              <w:bottom w:w="100" w:type="dxa"/>
              <w:right w:w="100" w:type="dxa"/>
            </w:tcMar>
          </w:tcPr>
          <w:p w14:paraId="1DDA782C" w14:textId="77777777" w:rsidR="00895B32" w:rsidRDefault="00000000">
            <w:pPr>
              <w:widowControl w:val="0"/>
              <w:pBdr>
                <w:top w:val="nil"/>
                <w:left w:val="nil"/>
                <w:bottom w:val="nil"/>
                <w:right w:val="nil"/>
                <w:between w:val="nil"/>
              </w:pBdr>
              <w:spacing w:line="240" w:lineRule="auto"/>
            </w:pPr>
            <w:r>
              <w:t>291</w:t>
            </w:r>
          </w:p>
        </w:tc>
        <w:tc>
          <w:tcPr>
            <w:tcW w:w="765" w:type="dxa"/>
            <w:shd w:val="clear" w:color="auto" w:fill="auto"/>
            <w:tcMar>
              <w:top w:w="100" w:type="dxa"/>
              <w:left w:w="100" w:type="dxa"/>
              <w:bottom w:w="100" w:type="dxa"/>
              <w:right w:w="100" w:type="dxa"/>
            </w:tcMar>
          </w:tcPr>
          <w:p w14:paraId="6140E675" w14:textId="77777777" w:rsidR="00895B32" w:rsidRDefault="00000000">
            <w:pPr>
              <w:widowControl w:val="0"/>
              <w:pBdr>
                <w:top w:val="nil"/>
                <w:left w:val="nil"/>
                <w:bottom w:val="nil"/>
                <w:right w:val="nil"/>
                <w:between w:val="nil"/>
              </w:pBdr>
              <w:spacing w:line="240" w:lineRule="auto"/>
            </w:pPr>
            <w:r>
              <w:t>0</w:t>
            </w:r>
          </w:p>
        </w:tc>
        <w:tc>
          <w:tcPr>
            <w:tcW w:w="810" w:type="dxa"/>
            <w:shd w:val="clear" w:color="auto" w:fill="auto"/>
            <w:tcMar>
              <w:top w:w="100" w:type="dxa"/>
              <w:left w:w="100" w:type="dxa"/>
              <w:bottom w:w="100" w:type="dxa"/>
              <w:right w:w="100" w:type="dxa"/>
            </w:tcMar>
          </w:tcPr>
          <w:p w14:paraId="11D5F25E" w14:textId="77777777" w:rsidR="00895B32" w:rsidRDefault="00000000">
            <w:pPr>
              <w:widowControl w:val="0"/>
              <w:pBdr>
                <w:top w:val="nil"/>
                <w:left w:val="nil"/>
                <w:bottom w:val="nil"/>
                <w:right w:val="nil"/>
                <w:between w:val="nil"/>
              </w:pBdr>
              <w:spacing w:line="240" w:lineRule="auto"/>
            </w:pPr>
            <w:r>
              <w:t>0</w:t>
            </w:r>
          </w:p>
        </w:tc>
        <w:tc>
          <w:tcPr>
            <w:tcW w:w="945" w:type="dxa"/>
            <w:shd w:val="clear" w:color="auto" w:fill="auto"/>
            <w:tcMar>
              <w:top w:w="100" w:type="dxa"/>
              <w:left w:w="100" w:type="dxa"/>
              <w:bottom w:w="100" w:type="dxa"/>
              <w:right w:w="100" w:type="dxa"/>
            </w:tcMar>
          </w:tcPr>
          <w:p w14:paraId="57BFCE26" w14:textId="77777777" w:rsidR="00895B32" w:rsidRDefault="00000000">
            <w:pPr>
              <w:widowControl w:val="0"/>
              <w:pBdr>
                <w:top w:val="nil"/>
                <w:left w:val="nil"/>
                <w:bottom w:val="nil"/>
                <w:right w:val="nil"/>
                <w:between w:val="nil"/>
              </w:pBdr>
              <w:spacing w:line="240" w:lineRule="auto"/>
            </w:pPr>
            <w:r>
              <w:t>821</w:t>
            </w:r>
          </w:p>
        </w:tc>
      </w:tr>
      <w:tr w:rsidR="00895B32" w14:paraId="7C7990CB" w14:textId="77777777">
        <w:trPr>
          <w:trHeight w:val="420"/>
        </w:trPr>
        <w:tc>
          <w:tcPr>
            <w:tcW w:w="1440" w:type="dxa"/>
            <w:vMerge/>
            <w:shd w:val="clear" w:color="auto" w:fill="auto"/>
            <w:tcMar>
              <w:top w:w="100" w:type="dxa"/>
              <w:left w:w="100" w:type="dxa"/>
              <w:bottom w:w="100" w:type="dxa"/>
              <w:right w:w="100" w:type="dxa"/>
            </w:tcMar>
          </w:tcPr>
          <w:p w14:paraId="64B422CB" w14:textId="77777777" w:rsidR="00895B32" w:rsidRDefault="00895B32">
            <w:pPr>
              <w:widowControl w:val="0"/>
              <w:pBdr>
                <w:top w:val="nil"/>
                <w:left w:val="nil"/>
                <w:bottom w:val="nil"/>
                <w:right w:val="nil"/>
                <w:between w:val="nil"/>
              </w:pBdr>
              <w:spacing w:line="240" w:lineRule="auto"/>
            </w:pPr>
          </w:p>
        </w:tc>
        <w:tc>
          <w:tcPr>
            <w:tcW w:w="1380" w:type="dxa"/>
            <w:shd w:val="clear" w:color="auto" w:fill="auto"/>
            <w:tcMar>
              <w:top w:w="100" w:type="dxa"/>
              <w:left w:w="100" w:type="dxa"/>
              <w:bottom w:w="100" w:type="dxa"/>
              <w:right w:w="100" w:type="dxa"/>
            </w:tcMar>
          </w:tcPr>
          <w:p w14:paraId="6DA7A594" w14:textId="77777777" w:rsidR="00895B32" w:rsidRDefault="00000000">
            <w:pPr>
              <w:widowControl w:val="0"/>
              <w:pBdr>
                <w:top w:val="nil"/>
                <w:left w:val="nil"/>
                <w:bottom w:val="nil"/>
                <w:right w:val="nil"/>
                <w:between w:val="nil"/>
              </w:pBdr>
              <w:spacing w:line="240" w:lineRule="auto"/>
            </w:pPr>
            <w:r>
              <w:t>Decliner</w:t>
            </w:r>
          </w:p>
        </w:tc>
        <w:tc>
          <w:tcPr>
            <w:tcW w:w="810" w:type="dxa"/>
            <w:shd w:val="clear" w:color="auto" w:fill="auto"/>
            <w:tcMar>
              <w:top w:w="100" w:type="dxa"/>
              <w:left w:w="100" w:type="dxa"/>
              <w:bottom w:w="100" w:type="dxa"/>
              <w:right w:w="100" w:type="dxa"/>
            </w:tcMar>
          </w:tcPr>
          <w:p w14:paraId="538804D1" w14:textId="77777777" w:rsidR="00895B32" w:rsidRDefault="00000000">
            <w:pPr>
              <w:widowControl w:val="0"/>
              <w:pBdr>
                <w:top w:val="nil"/>
                <w:left w:val="nil"/>
                <w:bottom w:val="nil"/>
                <w:right w:val="nil"/>
                <w:between w:val="nil"/>
              </w:pBdr>
              <w:spacing w:line="240" w:lineRule="auto"/>
            </w:pPr>
            <w:r>
              <w:t>86</w:t>
            </w:r>
          </w:p>
        </w:tc>
        <w:tc>
          <w:tcPr>
            <w:tcW w:w="720" w:type="dxa"/>
            <w:shd w:val="clear" w:color="auto" w:fill="auto"/>
            <w:tcMar>
              <w:top w:w="100" w:type="dxa"/>
              <w:left w:w="100" w:type="dxa"/>
              <w:bottom w:w="100" w:type="dxa"/>
              <w:right w:w="100" w:type="dxa"/>
            </w:tcMar>
          </w:tcPr>
          <w:p w14:paraId="242DAF0D" w14:textId="77777777" w:rsidR="00895B32" w:rsidRDefault="00000000">
            <w:pPr>
              <w:widowControl w:val="0"/>
              <w:pBdr>
                <w:top w:val="nil"/>
                <w:left w:val="nil"/>
                <w:bottom w:val="nil"/>
                <w:right w:val="nil"/>
                <w:between w:val="nil"/>
              </w:pBdr>
              <w:spacing w:line="240" w:lineRule="auto"/>
            </w:pPr>
            <w:r>
              <w:t>27</w:t>
            </w:r>
          </w:p>
        </w:tc>
        <w:tc>
          <w:tcPr>
            <w:tcW w:w="765" w:type="dxa"/>
            <w:shd w:val="clear" w:color="auto" w:fill="auto"/>
            <w:tcMar>
              <w:top w:w="100" w:type="dxa"/>
              <w:left w:w="100" w:type="dxa"/>
              <w:bottom w:w="100" w:type="dxa"/>
              <w:right w:w="100" w:type="dxa"/>
            </w:tcMar>
          </w:tcPr>
          <w:p w14:paraId="07A1597F" w14:textId="77777777" w:rsidR="00895B32" w:rsidRDefault="00000000">
            <w:pPr>
              <w:widowControl w:val="0"/>
              <w:pBdr>
                <w:top w:val="nil"/>
                <w:left w:val="nil"/>
                <w:bottom w:val="nil"/>
                <w:right w:val="nil"/>
                <w:between w:val="nil"/>
              </w:pBdr>
              <w:spacing w:line="240" w:lineRule="auto"/>
            </w:pPr>
            <w:r>
              <w:t>1</w:t>
            </w:r>
          </w:p>
        </w:tc>
        <w:tc>
          <w:tcPr>
            <w:tcW w:w="720" w:type="dxa"/>
            <w:shd w:val="clear" w:color="auto" w:fill="auto"/>
            <w:tcMar>
              <w:top w:w="100" w:type="dxa"/>
              <w:left w:w="100" w:type="dxa"/>
              <w:bottom w:w="100" w:type="dxa"/>
              <w:right w:w="100" w:type="dxa"/>
            </w:tcMar>
          </w:tcPr>
          <w:p w14:paraId="53F31375" w14:textId="77777777" w:rsidR="00895B32" w:rsidRDefault="00000000">
            <w:pPr>
              <w:widowControl w:val="0"/>
              <w:pBdr>
                <w:top w:val="nil"/>
                <w:left w:val="nil"/>
                <w:bottom w:val="nil"/>
                <w:right w:val="nil"/>
                <w:between w:val="nil"/>
              </w:pBdr>
              <w:spacing w:line="240" w:lineRule="auto"/>
            </w:pPr>
            <w:r>
              <w:t>0</w:t>
            </w:r>
          </w:p>
        </w:tc>
        <w:tc>
          <w:tcPr>
            <w:tcW w:w="735" w:type="dxa"/>
            <w:shd w:val="clear" w:color="auto" w:fill="auto"/>
            <w:tcMar>
              <w:top w:w="100" w:type="dxa"/>
              <w:left w:w="100" w:type="dxa"/>
              <w:bottom w:w="100" w:type="dxa"/>
              <w:right w:w="100" w:type="dxa"/>
            </w:tcMar>
          </w:tcPr>
          <w:p w14:paraId="2F3E63CB" w14:textId="77777777" w:rsidR="00895B32" w:rsidRDefault="00000000">
            <w:pPr>
              <w:widowControl w:val="0"/>
              <w:pBdr>
                <w:top w:val="nil"/>
                <w:left w:val="nil"/>
                <w:bottom w:val="nil"/>
                <w:right w:val="nil"/>
                <w:between w:val="nil"/>
              </w:pBdr>
              <w:spacing w:line="240" w:lineRule="auto"/>
            </w:pPr>
            <w:r>
              <w:t>0</w:t>
            </w:r>
          </w:p>
        </w:tc>
        <w:tc>
          <w:tcPr>
            <w:tcW w:w="765" w:type="dxa"/>
            <w:shd w:val="clear" w:color="auto" w:fill="auto"/>
            <w:tcMar>
              <w:top w:w="100" w:type="dxa"/>
              <w:left w:w="100" w:type="dxa"/>
              <w:bottom w:w="100" w:type="dxa"/>
              <w:right w:w="100" w:type="dxa"/>
            </w:tcMar>
          </w:tcPr>
          <w:p w14:paraId="078738FE" w14:textId="77777777" w:rsidR="00895B32" w:rsidRDefault="00000000">
            <w:pPr>
              <w:widowControl w:val="0"/>
              <w:pBdr>
                <w:top w:val="nil"/>
                <w:left w:val="nil"/>
                <w:bottom w:val="nil"/>
                <w:right w:val="nil"/>
                <w:between w:val="nil"/>
              </w:pBdr>
              <w:spacing w:line="240" w:lineRule="auto"/>
            </w:pPr>
            <w:r>
              <w:t>0</w:t>
            </w:r>
          </w:p>
        </w:tc>
        <w:tc>
          <w:tcPr>
            <w:tcW w:w="810" w:type="dxa"/>
            <w:shd w:val="clear" w:color="auto" w:fill="auto"/>
            <w:tcMar>
              <w:top w:w="100" w:type="dxa"/>
              <w:left w:w="100" w:type="dxa"/>
              <w:bottom w:w="100" w:type="dxa"/>
              <w:right w:w="100" w:type="dxa"/>
            </w:tcMar>
          </w:tcPr>
          <w:p w14:paraId="69A21E5F" w14:textId="77777777" w:rsidR="00895B32" w:rsidRDefault="00000000">
            <w:pPr>
              <w:widowControl w:val="0"/>
              <w:pBdr>
                <w:top w:val="nil"/>
                <w:left w:val="nil"/>
                <w:bottom w:val="nil"/>
                <w:right w:val="nil"/>
                <w:between w:val="nil"/>
              </w:pBdr>
              <w:spacing w:line="240" w:lineRule="auto"/>
            </w:pPr>
            <w:r>
              <w:t>0</w:t>
            </w:r>
          </w:p>
        </w:tc>
        <w:tc>
          <w:tcPr>
            <w:tcW w:w="945" w:type="dxa"/>
            <w:shd w:val="clear" w:color="auto" w:fill="auto"/>
            <w:tcMar>
              <w:top w:w="100" w:type="dxa"/>
              <w:left w:w="100" w:type="dxa"/>
              <w:bottom w:w="100" w:type="dxa"/>
              <w:right w:w="100" w:type="dxa"/>
            </w:tcMar>
          </w:tcPr>
          <w:p w14:paraId="0B7401E6" w14:textId="77777777" w:rsidR="00895B32" w:rsidRDefault="00000000">
            <w:pPr>
              <w:widowControl w:val="0"/>
              <w:pBdr>
                <w:top w:val="nil"/>
                <w:left w:val="nil"/>
                <w:bottom w:val="nil"/>
                <w:right w:val="nil"/>
                <w:between w:val="nil"/>
              </w:pBdr>
              <w:spacing w:line="240" w:lineRule="auto"/>
            </w:pPr>
            <w:r>
              <w:t>114</w:t>
            </w:r>
          </w:p>
        </w:tc>
      </w:tr>
      <w:tr w:rsidR="00895B32" w14:paraId="27807641" w14:textId="77777777">
        <w:tc>
          <w:tcPr>
            <w:tcW w:w="1440" w:type="dxa"/>
            <w:shd w:val="clear" w:color="auto" w:fill="auto"/>
            <w:tcMar>
              <w:top w:w="100" w:type="dxa"/>
              <w:left w:w="100" w:type="dxa"/>
              <w:bottom w:w="100" w:type="dxa"/>
              <w:right w:w="100" w:type="dxa"/>
            </w:tcMar>
          </w:tcPr>
          <w:p w14:paraId="5EB4BD72" w14:textId="77777777" w:rsidR="00895B32" w:rsidRDefault="00000000">
            <w:pPr>
              <w:widowControl w:val="0"/>
              <w:pBdr>
                <w:top w:val="nil"/>
                <w:left w:val="nil"/>
                <w:bottom w:val="nil"/>
                <w:right w:val="nil"/>
                <w:between w:val="nil"/>
              </w:pBdr>
              <w:spacing w:line="240" w:lineRule="auto"/>
            </w:pPr>
            <w:r>
              <w:t>Sequencing Metrics</w:t>
            </w:r>
          </w:p>
        </w:tc>
        <w:tc>
          <w:tcPr>
            <w:tcW w:w="1380" w:type="dxa"/>
            <w:shd w:val="clear" w:color="auto" w:fill="auto"/>
            <w:tcMar>
              <w:top w:w="100" w:type="dxa"/>
              <w:left w:w="100" w:type="dxa"/>
              <w:bottom w:w="100" w:type="dxa"/>
              <w:right w:w="100" w:type="dxa"/>
            </w:tcMar>
          </w:tcPr>
          <w:p w14:paraId="56D4A870" w14:textId="77777777" w:rsidR="00895B32" w:rsidRDefault="00000000">
            <w:pPr>
              <w:widowControl w:val="0"/>
              <w:pBdr>
                <w:top w:val="nil"/>
                <w:left w:val="nil"/>
                <w:bottom w:val="nil"/>
                <w:right w:val="nil"/>
                <w:between w:val="nil"/>
              </w:pBdr>
              <w:spacing w:line="240" w:lineRule="auto"/>
            </w:pPr>
            <w:r>
              <w:t>NA</w:t>
            </w:r>
          </w:p>
        </w:tc>
        <w:tc>
          <w:tcPr>
            <w:tcW w:w="810" w:type="dxa"/>
            <w:shd w:val="clear" w:color="auto" w:fill="auto"/>
            <w:tcMar>
              <w:top w:w="100" w:type="dxa"/>
              <w:left w:w="100" w:type="dxa"/>
              <w:bottom w:w="100" w:type="dxa"/>
              <w:right w:w="100" w:type="dxa"/>
            </w:tcMar>
          </w:tcPr>
          <w:p w14:paraId="374EAB5A" w14:textId="77777777" w:rsidR="00895B32" w:rsidRDefault="00000000">
            <w:pPr>
              <w:widowControl w:val="0"/>
              <w:pBdr>
                <w:top w:val="nil"/>
                <w:left w:val="nil"/>
                <w:bottom w:val="nil"/>
                <w:right w:val="nil"/>
                <w:between w:val="nil"/>
              </w:pBdr>
              <w:spacing w:line="240" w:lineRule="auto"/>
            </w:pPr>
            <w:r>
              <w:t>842</w:t>
            </w:r>
          </w:p>
        </w:tc>
        <w:tc>
          <w:tcPr>
            <w:tcW w:w="720" w:type="dxa"/>
            <w:shd w:val="clear" w:color="auto" w:fill="auto"/>
            <w:tcMar>
              <w:top w:w="100" w:type="dxa"/>
              <w:left w:w="100" w:type="dxa"/>
              <w:bottom w:w="100" w:type="dxa"/>
              <w:right w:w="100" w:type="dxa"/>
            </w:tcMar>
          </w:tcPr>
          <w:p w14:paraId="60106D4A" w14:textId="77777777" w:rsidR="00895B32" w:rsidRDefault="00000000">
            <w:pPr>
              <w:widowControl w:val="0"/>
              <w:pBdr>
                <w:top w:val="nil"/>
                <w:left w:val="nil"/>
                <w:bottom w:val="nil"/>
                <w:right w:val="nil"/>
                <w:between w:val="nil"/>
              </w:pBdr>
              <w:spacing w:line="240" w:lineRule="auto"/>
            </w:pPr>
            <w:r>
              <w:t>623</w:t>
            </w:r>
          </w:p>
        </w:tc>
        <w:tc>
          <w:tcPr>
            <w:tcW w:w="765" w:type="dxa"/>
            <w:shd w:val="clear" w:color="auto" w:fill="auto"/>
            <w:tcMar>
              <w:top w:w="100" w:type="dxa"/>
              <w:left w:w="100" w:type="dxa"/>
              <w:bottom w:w="100" w:type="dxa"/>
              <w:right w:w="100" w:type="dxa"/>
            </w:tcMar>
          </w:tcPr>
          <w:p w14:paraId="713DA8AA" w14:textId="77777777" w:rsidR="00895B32" w:rsidRDefault="00000000">
            <w:pPr>
              <w:widowControl w:val="0"/>
              <w:pBdr>
                <w:top w:val="nil"/>
                <w:left w:val="nil"/>
                <w:bottom w:val="nil"/>
                <w:right w:val="nil"/>
                <w:between w:val="nil"/>
              </w:pBdr>
              <w:spacing w:line="240" w:lineRule="auto"/>
            </w:pPr>
            <w:r>
              <w:t>98</w:t>
            </w:r>
          </w:p>
        </w:tc>
        <w:tc>
          <w:tcPr>
            <w:tcW w:w="720" w:type="dxa"/>
            <w:shd w:val="clear" w:color="auto" w:fill="auto"/>
            <w:tcMar>
              <w:top w:w="100" w:type="dxa"/>
              <w:left w:w="100" w:type="dxa"/>
              <w:bottom w:w="100" w:type="dxa"/>
              <w:right w:w="100" w:type="dxa"/>
            </w:tcMar>
          </w:tcPr>
          <w:p w14:paraId="657C7A77" w14:textId="77777777" w:rsidR="00895B32" w:rsidRDefault="00000000">
            <w:pPr>
              <w:widowControl w:val="0"/>
              <w:pBdr>
                <w:top w:val="nil"/>
                <w:left w:val="nil"/>
                <w:bottom w:val="nil"/>
                <w:right w:val="nil"/>
                <w:between w:val="nil"/>
              </w:pBdr>
              <w:spacing w:line="240" w:lineRule="auto"/>
            </w:pPr>
            <w:r>
              <w:t>719</w:t>
            </w:r>
          </w:p>
        </w:tc>
        <w:tc>
          <w:tcPr>
            <w:tcW w:w="735" w:type="dxa"/>
            <w:shd w:val="clear" w:color="auto" w:fill="auto"/>
            <w:tcMar>
              <w:top w:w="100" w:type="dxa"/>
              <w:left w:w="100" w:type="dxa"/>
              <w:bottom w:w="100" w:type="dxa"/>
              <w:right w:w="100" w:type="dxa"/>
            </w:tcMar>
          </w:tcPr>
          <w:p w14:paraId="7373190B" w14:textId="77777777" w:rsidR="00895B32" w:rsidRDefault="00000000">
            <w:pPr>
              <w:widowControl w:val="0"/>
              <w:pBdr>
                <w:top w:val="nil"/>
                <w:left w:val="nil"/>
                <w:bottom w:val="nil"/>
                <w:right w:val="nil"/>
                <w:between w:val="nil"/>
              </w:pBdr>
              <w:spacing w:line="240" w:lineRule="auto"/>
            </w:pPr>
            <w:r>
              <w:t>534</w:t>
            </w:r>
          </w:p>
        </w:tc>
        <w:tc>
          <w:tcPr>
            <w:tcW w:w="765" w:type="dxa"/>
            <w:shd w:val="clear" w:color="auto" w:fill="auto"/>
            <w:tcMar>
              <w:top w:w="100" w:type="dxa"/>
              <w:left w:w="100" w:type="dxa"/>
              <w:bottom w:w="100" w:type="dxa"/>
              <w:right w:w="100" w:type="dxa"/>
            </w:tcMar>
          </w:tcPr>
          <w:p w14:paraId="2194B7D4" w14:textId="77777777" w:rsidR="00895B32" w:rsidRDefault="00000000">
            <w:pPr>
              <w:widowControl w:val="0"/>
              <w:pBdr>
                <w:top w:val="nil"/>
                <w:left w:val="nil"/>
                <w:bottom w:val="nil"/>
                <w:right w:val="nil"/>
                <w:between w:val="nil"/>
              </w:pBdr>
              <w:spacing w:line="240" w:lineRule="auto"/>
            </w:pPr>
            <w:r>
              <w:t>537</w:t>
            </w:r>
          </w:p>
        </w:tc>
        <w:tc>
          <w:tcPr>
            <w:tcW w:w="810" w:type="dxa"/>
            <w:shd w:val="clear" w:color="auto" w:fill="auto"/>
            <w:tcMar>
              <w:top w:w="100" w:type="dxa"/>
              <w:left w:w="100" w:type="dxa"/>
              <w:bottom w:w="100" w:type="dxa"/>
              <w:right w:w="100" w:type="dxa"/>
            </w:tcMar>
          </w:tcPr>
          <w:p w14:paraId="615D0B2B" w14:textId="77777777" w:rsidR="00895B32" w:rsidRDefault="00000000">
            <w:pPr>
              <w:widowControl w:val="0"/>
              <w:pBdr>
                <w:top w:val="nil"/>
                <w:left w:val="nil"/>
                <w:bottom w:val="nil"/>
                <w:right w:val="nil"/>
                <w:between w:val="nil"/>
              </w:pBdr>
              <w:spacing w:line="240" w:lineRule="auto"/>
            </w:pPr>
            <w:r>
              <w:t>0</w:t>
            </w:r>
          </w:p>
        </w:tc>
        <w:tc>
          <w:tcPr>
            <w:tcW w:w="945" w:type="dxa"/>
            <w:shd w:val="clear" w:color="auto" w:fill="auto"/>
            <w:tcMar>
              <w:top w:w="100" w:type="dxa"/>
              <w:left w:w="100" w:type="dxa"/>
              <w:bottom w:w="100" w:type="dxa"/>
              <w:right w:w="100" w:type="dxa"/>
            </w:tcMar>
          </w:tcPr>
          <w:p w14:paraId="49825194" w14:textId="77777777" w:rsidR="00895B32" w:rsidRDefault="00000000">
            <w:pPr>
              <w:widowControl w:val="0"/>
              <w:pBdr>
                <w:top w:val="nil"/>
                <w:left w:val="nil"/>
                <w:bottom w:val="nil"/>
                <w:right w:val="nil"/>
                <w:between w:val="nil"/>
              </w:pBdr>
              <w:spacing w:line="240" w:lineRule="auto"/>
            </w:pPr>
            <w:r>
              <w:t>3353</w:t>
            </w:r>
          </w:p>
        </w:tc>
      </w:tr>
      <w:tr w:rsidR="00895B32" w14:paraId="0739FBBD" w14:textId="77777777">
        <w:tc>
          <w:tcPr>
            <w:tcW w:w="1440" w:type="dxa"/>
            <w:shd w:val="clear" w:color="auto" w:fill="auto"/>
            <w:tcMar>
              <w:top w:w="100" w:type="dxa"/>
              <w:left w:w="100" w:type="dxa"/>
              <w:bottom w:w="100" w:type="dxa"/>
              <w:right w:w="100" w:type="dxa"/>
            </w:tcMar>
          </w:tcPr>
          <w:p w14:paraId="06456D24" w14:textId="77777777" w:rsidR="00895B32" w:rsidRDefault="00000000">
            <w:pPr>
              <w:widowControl w:val="0"/>
              <w:pBdr>
                <w:top w:val="nil"/>
                <w:left w:val="nil"/>
                <w:bottom w:val="nil"/>
                <w:right w:val="nil"/>
                <w:between w:val="nil"/>
              </w:pBdr>
              <w:spacing w:line="240" w:lineRule="auto"/>
            </w:pPr>
            <w:r>
              <w:t>Sequence Data</w:t>
            </w:r>
          </w:p>
        </w:tc>
        <w:tc>
          <w:tcPr>
            <w:tcW w:w="1380" w:type="dxa"/>
            <w:shd w:val="clear" w:color="auto" w:fill="auto"/>
            <w:tcMar>
              <w:top w:w="100" w:type="dxa"/>
              <w:left w:w="100" w:type="dxa"/>
              <w:bottom w:w="100" w:type="dxa"/>
              <w:right w:w="100" w:type="dxa"/>
            </w:tcMar>
          </w:tcPr>
          <w:p w14:paraId="3078A32B" w14:textId="77777777" w:rsidR="00895B32" w:rsidRDefault="00000000">
            <w:pPr>
              <w:widowControl w:val="0"/>
              <w:pBdr>
                <w:top w:val="nil"/>
                <w:left w:val="nil"/>
                <w:bottom w:val="nil"/>
                <w:right w:val="nil"/>
                <w:between w:val="nil"/>
              </w:pBdr>
              <w:spacing w:line="240" w:lineRule="auto"/>
            </w:pPr>
            <w:r>
              <w:t>NA</w:t>
            </w:r>
          </w:p>
        </w:tc>
        <w:tc>
          <w:tcPr>
            <w:tcW w:w="810" w:type="dxa"/>
            <w:shd w:val="clear" w:color="auto" w:fill="auto"/>
            <w:tcMar>
              <w:top w:w="100" w:type="dxa"/>
              <w:left w:w="100" w:type="dxa"/>
              <w:bottom w:w="100" w:type="dxa"/>
              <w:right w:w="100" w:type="dxa"/>
            </w:tcMar>
          </w:tcPr>
          <w:p w14:paraId="1F187F17" w14:textId="77777777" w:rsidR="00895B32" w:rsidRDefault="00000000">
            <w:pPr>
              <w:widowControl w:val="0"/>
              <w:pBdr>
                <w:top w:val="nil"/>
                <w:left w:val="nil"/>
                <w:bottom w:val="nil"/>
                <w:right w:val="nil"/>
                <w:between w:val="nil"/>
              </w:pBdr>
              <w:spacing w:line="240" w:lineRule="auto"/>
            </w:pPr>
            <w:r>
              <w:t>827</w:t>
            </w:r>
          </w:p>
        </w:tc>
        <w:tc>
          <w:tcPr>
            <w:tcW w:w="720" w:type="dxa"/>
            <w:shd w:val="clear" w:color="auto" w:fill="auto"/>
            <w:tcMar>
              <w:top w:w="100" w:type="dxa"/>
              <w:left w:w="100" w:type="dxa"/>
              <w:bottom w:w="100" w:type="dxa"/>
              <w:right w:w="100" w:type="dxa"/>
            </w:tcMar>
          </w:tcPr>
          <w:p w14:paraId="09D0605D" w14:textId="77777777" w:rsidR="00895B32" w:rsidRDefault="00000000">
            <w:pPr>
              <w:widowControl w:val="0"/>
              <w:pBdr>
                <w:top w:val="nil"/>
                <w:left w:val="nil"/>
                <w:bottom w:val="nil"/>
                <w:right w:val="nil"/>
                <w:between w:val="nil"/>
              </w:pBdr>
              <w:spacing w:line="240" w:lineRule="auto"/>
            </w:pPr>
            <w:r>
              <w:t>623</w:t>
            </w:r>
          </w:p>
        </w:tc>
        <w:tc>
          <w:tcPr>
            <w:tcW w:w="765" w:type="dxa"/>
            <w:shd w:val="clear" w:color="auto" w:fill="auto"/>
            <w:tcMar>
              <w:top w:w="100" w:type="dxa"/>
              <w:left w:w="100" w:type="dxa"/>
              <w:bottom w:w="100" w:type="dxa"/>
              <w:right w:w="100" w:type="dxa"/>
            </w:tcMar>
          </w:tcPr>
          <w:p w14:paraId="1A0D7C72" w14:textId="77777777" w:rsidR="00895B32" w:rsidRDefault="00000000">
            <w:pPr>
              <w:widowControl w:val="0"/>
              <w:pBdr>
                <w:top w:val="nil"/>
                <w:left w:val="nil"/>
                <w:bottom w:val="nil"/>
                <w:right w:val="nil"/>
                <w:between w:val="nil"/>
              </w:pBdr>
              <w:spacing w:line="240" w:lineRule="auto"/>
            </w:pPr>
            <w:r>
              <w:t>96</w:t>
            </w:r>
          </w:p>
        </w:tc>
        <w:tc>
          <w:tcPr>
            <w:tcW w:w="720" w:type="dxa"/>
            <w:shd w:val="clear" w:color="auto" w:fill="auto"/>
            <w:tcMar>
              <w:top w:w="100" w:type="dxa"/>
              <w:left w:w="100" w:type="dxa"/>
              <w:bottom w:w="100" w:type="dxa"/>
              <w:right w:w="100" w:type="dxa"/>
            </w:tcMar>
          </w:tcPr>
          <w:p w14:paraId="126BDEC9" w14:textId="77777777" w:rsidR="00895B32" w:rsidRDefault="00000000">
            <w:pPr>
              <w:widowControl w:val="0"/>
              <w:pBdr>
                <w:top w:val="nil"/>
                <w:left w:val="nil"/>
                <w:bottom w:val="nil"/>
                <w:right w:val="nil"/>
                <w:between w:val="nil"/>
              </w:pBdr>
              <w:spacing w:line="240" w:lineRule="auto"/>
            </w:pPr>
            <w:r>
              <w:t>718</w:t>
            </w:r>
          </w:p>
        </w:tc>
        <w:tc>
          <w:tcPr>
            <w:tcW w:w="735" w:type="dxa"/>
            <w:shd w:val="clear" w:color="auto" w:fill="auto"/>
            <w:tcMar>
              <w:top w:w="100" w:type="dxa"/>
              <w:left w:w="100" w:type="dxa"/>
              <w:bottom w:w="100" w:type="dxa"/>
              <w:right w:w="100" w:type="dxa"/>
            </w:tcMar>
          </w:tcPr>
          <w:p w14:paraId="4F4E6F6E" w14:textId="77777777" w:rsidR="00895B32" w:rsidRDefault="00000000">
            <w:pPr>
              <w:widowControl w:val="0"/>
              <w:pBdr>
                <w:top w:val="nil"/>
                <w:left w:val="nil"/>
                <w:bottom w:val="nil"/>
                <w:right w:val="nil"/>
                <w:between w:val="nil"/>
              </w:pBdr>
              <w:spacing w:line="240" w:lineRule="auto"/>
            </w:pPr>
            <w:r>
              <w:t>534</w:t>
            </w:r>
          </w:p>
        </w:tc>
        <w:tc>
          <w:tcPr>
            <w:tcW w:w="765" w:type="dxa"/>
            <w:shd w:val="clear" w:color="auto" w:fill="auto"/>
            <w:tcMar>
              <w:top w:w="100" w:type="dxa"/>
              <w:left w:w="100" w:type="dxa"/>
              <w:bottom w:w="100" w:type="dxa"/>
              <w:right w:w="100" w:type="dxa"/>
            </w:tcMar>
          </w:tcPr>
          <w:p w14:paraId="0F15A176" w14:textId="77777777" w:rsidR="00895B32" w:rsidRDefault="00000000">
            <w:pPr>
              <w:widowControl w:val="0"/>
              <w:pBdr>
                <w:top w:val="nil"/>
                <w:left w:val="nil"/>
                <w:bottom w:val="nil"/>
                <w:right w:val="nil"/>
                <w:between w:val="nil"/>
              </w:pBdr>
              <w:spacing w:line="240" w:lineRule="auto"/>
            </w:pPr>
            <w:r>
              <w:t>752</w:t>
            </w:r>
          </w:p>
        </w:tc>
        <w:tc>
          <w:tcPr>
            <w:tcW w:w="810" w:type="dxa"/>
            <w:shd w:val="clear" w:color="auto" w:fill="auto"/>
            <w:tcMar>
              <w:top w:w="100" w:type="dxa"/>
              <w:left w:w="100" w:type="dxa"/>
              <w:bottom w:w="100" w:type="dxa"/>
              <w:right w:w="100" w:type="dxa"/>
            </w:tcMar>
          </w:tcPr>
          <w:p w14:paraId="4BDFDED1" w14:textId="77777777" w:rsidR="00895B32" w:rsidRDefault="00000000">
            <w:pPr>
              <w:widowControl w:val="0"/>
              <w:pBdr>
                <w:top w:val="nil"/>
                <w:left w:val="nil"/>
                <w:bottom w:val="nil"/>
                <w:right w:val="nil"/>
                <w:between w:val="nil"/>
              </w:pBdr>
              <w:spacing w:line="240" w:lineRule="auto"/>
            </w:pPr>
            <w:r>
              <w:t>0</w:t>
            </w:r>
          </w:p>
        </w:tc>
        <w:tc>
          <w:tcPr>
            <w:tcW w:w="945" w:type="dxa"/>
            <w:shd w:val="clear" w:color="auto" w:fill="auto"/>
            <w:tcMar>
              <w:top w:w="100" w:type="dxa"/>
              <w:left w:w="100" w:type="dxa"/>
              <w:bottom w:w="100" w:type="dxa"/>
              <w:right w:w="100" w:type="dxa"/>
            </w:tcMar>
          </w:tcPr>
          <w:p w14:paraId="6673E58B" w14:textId="77777777" w:rsidR="00895B32" w:rsidRDefault="00000000">
            <w:pPr>
              <w:widowControl w:val="0"/>
              <w:pBdr>
                <w:top w:val="nil"/>
                <w:left w:val="nil"/>
                <w:bottom w:val="nil"/>
                <w:right w:val="nil"/>
                <w:between w:val="nil"/>
              </w:pBdr>
              <w:spacing w:line="240" w:lineRule="auto"/>
            </w:pPr>
            <w:r>
              <w:t>3550</w:t>
            </w:r>
          </w:p>
        </w:tc>
      </w:tr>
    </w:tbl>
    <w:p w14:paraId="567B26E6" w14:textId="77777777" w:rsidR="00895B32" w:rsidRDefault="00895B32"/>
    <w:p w14:paraId="4D9029F5" w14:textId="77777777" w:rsidR="00895B32" w:rsidRDefault="00000000">
      <w:pPr>
        <w:pStyle w:val="Heading1"/>
      </w:pPr>
      <w:bookmarkStart w:id="6" w:name="_i77b0wsxh1av" w:colFirst="0" w:colLast="0"/>
      <w:bookmarkEnd w:id="6"/>
      <w:r>
        <w:lastRenderedPageBreak/>
        <w:t>Data Access</w:t>
      </w:r>
    </w:p>
    <w:p w14:paraId="2EA68521" w14:textId="77777777" w:rsidR="00895B32" w:rsidRDefault="00000000">
      <w:pPr>
        <w:pStyle w:val="Heading2"/>
      </w:pPr>
      <w:bookmarkStart w:id="7" w:name="_ii8857j2za7k" w:colFirst="0" w:colLast="0"/>
      <w:bookmarkEnd w:id="7"/>
      <w:r>
        <w:t>How to obtain data access in AnVIL for CSER and beyond</w:t>
      </w:r>
    </w:p>
    <w:p w14:paraId="454E16C2" w14:textId="77777777" w:rsidR="00895B32" w:rsidRDefault="00000000">
      <w:r>
        <w:t xml:space="preserve">Within Anvil there are three types of data access: open access, controlled access, and consortium-level access. Open access will provide all accessible data from Terra or Gen3. Controlled is just like it sounds, controlled. CSER is available to outside users via controlled access. Consortium-level access is available to users within a given consortium. For example CSER members have consortium access as per their data sharing agreement. More information on dbGap data sharing codes can be found </w:t>
      </w:r>
      <w:hyperlink r:id="rId16">
        <w:r>
          <w:rPr>
            <w:color w:val="1155CC"/>
            <w:u w:val="single"/>
          </w:rPr>
          <w:t>here</w:t>
        </w:r>
      </w:hyperlink>
      <w:r>
        <w:t>.</w:t>
      </w:r>
    </w:p>
    <w:p w14:paraId="5FCBED29" w14:textId="77777777" w:rsidR="00895B32" w:rsidRDefault="00895B32"/>
    <w:p w14:paraId="2D56322F" w14:textId="77777777" w:rsidR="00895B32" w:rsidRDefault="00000000">
      <w:r>
        <w:t xml:space="preserve">If you want to quickly access data without an authentication process and preview what data sets are already integrated into AnVIL, you can access the dataset catalog </w:t>
      </w:r>
      <w:hyperlink r:id="rId17">
        <w:r>
          <w:rPr>
            <w:color w:val="1155CC"/>
            <w:u w:val="single"/>
          </w:rPr>
          <w:t>here</w:t>
        </w:r>
      </w:hyperlink>
      <w:r>
        <w:t>. This catalog offers a breakdown of data by useful search terms. A screenshot of these datasets can be found below:</w:t>
      </w:r>
    </w:p>
    <w:p w14:paraId="5ED00B51" w14:textId="77777777" w:rsidR="00895B32" w:rsidRDefault="00895B32"/>
    <w:p w14:paraId="6E4EFEE3" w14:textId="77777777" w:rsidR="00895B32" w:rsidRDefault="00000000">
      <w:r>
        <w:rPr>
          <w:noProof/>
        </w:rPr>
        <w:drawing>
          <wp:inline distT="114300" distB="114300" distL="114300" distR="114300" wp14:anchorId="5A6AE1FC" wp14:editId="516C609B">
            <wp:extent cx="5943600" cy="1625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1625600"/>
                    </a:xfrm>
                    <a:prstGeom prst="rect">
                      <a:avLst/>
                    </a:prstGeom>
                    <a:ln/>
                  </pic:spPr>
                </pic:pic>
              </a:graphicData>
            </a:graphic>
          </wp:inline>
        </w:drawing>
      </w:r>
    </w:p>
    <w:p w14:paraId="679529D9" w14:textId="77777777" w:rsidR="00895B32" w:rsidRDefault="00895B32"/>
    <w:p w14:paraId="60734C83" w14:textId="77777777" w:rsidR="00895B32" w:rsidRDefault="00895B32"/>
    <w:p w14:paraId="424B1FE5" w14:textId="77777777" w:rsidR="00895B32" w:rsidRDefault="00000000">
      <w:pPr>
        <w:pStyle w:val="Heading2"/>
      </w:pPr>
      <w:bookmarkStart w:id="8" w:name="_7vnifpu9h79o" w:colFirst="0" w:colLast="0"/>
      <w:bookmarkEnd w:id="8"/>
      <w:r>
        <w:t>How to search dbGAP for CSER data sets</w:t>
      </w:r>
    </w:p>
    <w:p w14:paraId="57137A05" w14:textId="77777777" w:rsidR="00895B32" w:rsidRDefault="00895B32"/>
    <w:p w14:paraId="213CE5E3" w14:textId="77777777" w:rsidR="00895B32" w:rsidRDefault="00000000">
      <w:r>
        <w:t>If you are not sure which data set you want and want to search for CSER in dbGAP, follow the instructions below:</w:t>
      </w:r>
    </w:p>
    <w:p w14:paraId="384C07A9" w14:textId="77777777" w:rsidR="00895B32" w:rsidRDefault="00000000">
      <w:r>
        <w:t xml:space="preserve"> </w:t>
      </w:r>
    </w:p>
    <w:p w14:paraId="57CEC233" w14:textId="77777777" w:rsidR="00895B32" w:rsidRDefault="00000000">
      <w:pPr>
        <w:numPr>
          <w:ilvl w:val="0"/>
          <w:numId w:val="1"/>
        </w:numPr>
      </w:pPr>
      <w:r>
        <w:t xml:space="preserve">Navigate to the </w:t>
      </w:r>
      <w:hyperlink r:id="rId19">
        <w:r>
          <w:rPr>
            <w:color w:val="1155CC"/>
            <w:u w:val="single"/>
          </w:rPr>
          <w:t>dbGap</w:t>
        </w:r>
      </w:hyperlink>
      <w:r>
        <w:t xml:space="preserve"> home page on the NCBI website.</w:t>
      </w:r>
    </w:p>
    <w:p w14:paraId="31FCF645" w14:textId="77777777" w:rsidR="00895B32" w:rsidRDefault="00895B32"/>
    <w:p w14:paraId="50808371" w14:textId="77777777" w:rsidR="00895B32" w:rsidRDefault="00000000">
      <w:pPr>
        <w:numPr>
          <w:ilvl w:val="0"/>
          <w:numId w:val="1"/>
        </w:numPr>
      </w:pPr>
      <w:r>
        <w:t>Type your keyword (i.e. CSER) into the search box.</w:t>
      </w:r>
    </w:p>
    <w:p w14:paraId="6D3F5FBD" w14:textId="77777777" w:rsidR="00895B32" w:rsidRDefault="00000000">
      <w:pPr>
        <w:pStyle w:val="Heading1"/>
      </w:pPr>
      <w:bookmarkStart w:id="9" w:name="_n029s84klzil" w:colFirst="0" w:colLast="0"/>
      <w:bookmarkEnd w:id="9"/>
      <w:r>
        <w:rPr>
          <w:noProof/>
        </w:rPr>
        <w:lastRenderedPageBreak/>
        <w:drawing>
          <wp:inline distT="114300" distB="114300" distL="114300" distR="114300" wp14:anchorId="45C2EEE7" wp14:editId="6253F087">
            <wp:extent cx="5943600" cy="850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850900"/>
                    </a:xfrm>
                    <a:prstGeom prst="rect">
                      <a:avLst/>
                    </a:prstGeom>
                    <a:ln/>
                  </pic:spPr>
                </pic:pic>
              </a:graphicData>
            </a:graphic>
          </wp:inline>
        </w:drawing>
      </w:r>
    </w:p>
    <w:p w14:paraId="3348BFC2" w14:textId="77777777" w:rsidR="00895B32" w:rsidRDefault="00000000">
      <w:pPr>
        <w:numPr>
          <w:ilvl w:val="0"/>
          <w:numId w:val="1"/>
        </w:numPr>
      </w:pPr>
      <w:r>
        <w:t>Review the results to determine which data sets you want to request.</w:t>
      </w:r>
    </w:p>
    <w:p w14:paraId="08F1571D" w14:textId="77777777" w:rsidR="00895B32" w:rsidRDefault="00895B32">
      <w:pPr>
        <w:ind w:left="720"/>
      </w:pPr>
    </w:p>
    <w:p w14:paraId="2DA79AA6" w14:textId="77777777" w:rsidR="00895B32" w:rsidRDefault="00000000">
      <w:r>
        <w:rPr>
          <w:noProof/>
        </w:rPr>
        <w:drawing>
          <wp:inline distT="114300" distB="114300" distL="114300" distR="114300" wp14:anchorId="493F585D" wp14:editId="1E2DC227">
            <wp:extent cx="5943600" cy="4508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43600" cy="4508500"/>
                    </a:xfrm>
                    <a:prstGeom prst="rect">
                      <a:avLst/>
                    </a:prstGeom>
                    <a:ln/>
                  </pic:spPr>
                </pic:pic>
              </a:graphicData>
            </a:graphic>
          </wp:inline>
        </w:drawing>
      </w:r>
    </w:p>
    <w:p w14:paraId="11E4A51B" w14:textId="77777777" w:rsidR="00895B32" w:rsidRDefault="00895B32"/>
    <w:p w14:paraId="0B9EA546" w14:textId="77777777" w:rsidR="00895B32" w:rsidRDefault="00000000">
      <w:r>
        <w:t>Please note that the total number of consented subjects on the study page will appear as “0” on most CSER study pages in dbGaP (as shown in the screenshot below). This is a known bug that the dbGaP team is currently working to address.</w:t>
      </w:r>
    </w:p>
    <w:p w14:paraId="60372533" w14:textId="77777777" w:rsidR="00895B32" w:rsidRDefault="00000000">
      <w:r>
        <w:rPr>
          <w:noProof/>
        </w:rPr>
        <w:lastRenderedPageBreak/>
        <w:drawing>
          <wp:inline distT="114300" distB="114300" distL="114300" distR="114300" wp14:anchorId="5C7E07E4" wp14:editId="6A0198BB">
            <wp:extent cx="5943600" cy="4216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3600" cy="4216400"/>
                    </a:xfrm>
                    <a:prstGeom prst="rect">
                      <a:avLst/>
                    </a:prstGeom>
                    <a:ln/>
                  </pic:spPr>
                </pic:pic>
              </a:graphicData>
            </a:graphic>
          </wp:inline>
        </w:drawing>
      </w:r>
    </w:p>
    <w:p w14:paraId="3E9B0D43" w14:textId="77777777" w:rsidR="00895B32" w:rsidRDefault="00000000">
      <w:pPr>
        <w:pStyle w:val="Heading2"/>
      </w:pPr>
      <w:bookmarkStart w:id="10" w:name="_izyqvb2vn8aw" w:colFirst="0" w:colLast="0"/>
      <w:bookmarkEnd w:id="10"/>
      <w:r>
        <w:t>Accessing CSER data in AnVIL</w:t>
      </w:r>
    </w:p>
    <w:p w14:paraId="5D58A738" w14:textId="77777777" w:rsidR="00895B32" w:rsidRDefault="00000000">
      <w:r>
        <w:t xml:space="preserve">Not specific to CSER, once dbGap has approved your request your data will appear in AnVIL as a workspace on your </w:t>
      </w:r>
      <w:hyperlink r:id="rId23" w:anchor="workspaces">
        <w:r>
          <w:rPr>
            <w:color w:val="1155CC"/>
            <w:u w:val="single"/>
          </w:rPr>
          <w:t>Terra workspaces page</w:t>
        </w:r>
      </w:hyperlink>
      <w:r>
        <w:t>. An example of how a CSER dataset appears within AnVIL is shown below.</w:t>
      </w:r>
    </w:p>
    <w:p w14:paraId="2D13EE0E" w14:textId="77777777" w:rsidR="00895B32" w:rsidRDefault="00895B32"/>
    <w:p w14:paraId="70A05956" w14:textId="77777777" w:rsidR="00895B32" w:rsidRDefault="00000000">
      <w:r>
        <w:rPr>
          <w:noProof/>
        </w:rPr>
        <w:lastRenderedPageBreak/>
        <w:drawing>
          <wp:inline distT="114300" distB="114300" distL="114300" distR="114300" wp14:anchorId="5A4D3525" wp14:editId="5EFCA5E7">
            <wp:extent cx="5943600" cy="2692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43600" cy="2692400"/>
                    </a:xfrm>
                    <a:prstGeom prst="rect">
                      <a:avLst/>
                    </a:prstGeom>
                    <a:ln/>
                  </pic:spPr>
                </pic:pic>
              </a:graphicData>
            </a:graphic>
          </wp:inline>
        </w:drawing>
      </w:r>
    </w:p>
    <w:p w14:paraId="529038AB" w14:textId="77777777" w:rsidR="00895B32" w:rsidRDefault="00895B32"/>
    <w:p w14:paraId="01DADEDA" w14:textId="77777777" w:rsidR="00895B32" w:rsidRDefault="00895B32"/>
    <w:p w14:paraId="44A405CC" w14:textId="77777777" w:rsidR="00895B32" w:rsidRDefault="00000000">
      <w:r>
        <w:t>AnVIL provides a graphical user interface (GUI) that allows the user interface with components of the data.</w:t>
      </w:r>
    </w:p>
    <w:p w14:paraId="637F2A38" w14:textId="77777777" w:rsidR="00895B32" w:rsidRDefault="00895B32"/>
    <w:p w14:paraId="20837F49" w14:textId="77777777" w:rsidR="00895B32" w:rsidRDefault="00000000">
      <w:r>
        <w:rPr>
          <w:noProof/>
        </w:rPr>
        <w:drawing>
          <wp:inline distT="114300" distB="114300" distL="114300" distR="114300" wp14:anchorId="1D758A7A" wp14:editId="414E31F4">
            <wp:extent cx="5943600" cy="2184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2184400"/>
                    </a:xfrm>
                    <a:prstGeom prst="rect">
                      <a:avLst/>
                    </a:prstGeom>
                    <a:ln/>
                  </pic:spPr>
                </pic:pic>
              </a:graphicData>
            </a:graphic>
          </wp:inline>
        </w:drawing>
      </w:r>
    </w:p>
    <w:p w14:paraId="6FB6DE4C" w14:textId="77777777" w:rsidR="00895B32" w:rsidRDefault="00895B32"/>
    <w:p w14:paraId="557AEE16" w14:textId="77777777" w:rsidR="00895B32" w:rsidRDefault="00895B32"/>
    <w:p w14:paraId="680CB228" w14:textId="77777777" w:rsidR="00895B32" w:rsidRDefault="00000000">
      <w:r>
        <w:t>The user may select files to download from the AnVIL workspace. To do this, select the file and follow the instructions below. AnVIL will list the associated cost with downloading the file along with alternate instructions to perform this task using the gsutil command-line tool.</w:t>
      </w:r>
    </w:p>
    <w:p w14:paraId="4A1BA583" w14:textId="77777777" w:rsidR="00895B32" w:rsidRDefault="00895B32"/>
    <w:p w14:paraId="21A96B88" w14:textId="77777777" w:rsidR="00895B32" w:rsidRDefault="00895B32"/>
    <w:p w14:paraId="7B8F0B2E" w14:textId="77777777" w:rsidR="00895B32" w:rsidRDefault="00000000">
      <w:pPr>
        <w:jc w:val="center"/>
      </w:pPr>
      <w:r>
        <w:rPr>
          <w:noProof/>
        </w:rPr>
        <w:lastRenderedPageBreak/>
        <w:drawing>
          <wp:inline distT="114300" distB="114300" distL="114300" distR="114300" wp14:anchorId="6FDF29FD" wp14:editId="5F5AD2A2">
            <wp:extent cx="4352925" cy="60674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352925" cy="6067425"/>
                    </a:xfrm>
                    <a:prstGeom prst="rect">
                      <a:avLst/>
                    </a:prstGeom>
                    <a:ln/>
                  </pic:spPr>
                </pic:pic>
              </a:graphicData>
            </a:graphic>
          </wp:inline>
        </w:drawing>
      </w:r>
    </w:p>
    <w:p w14:paraId="39ACEE8E" w14:textId="77777777" w:rsidR="00895B32" w:rsidRDefault="00895B32"/>
    <w:p w14:paraId="3A488764" w14:textId="77777777" w:rsidR="00895B32" w:rsidRDefault="00000000">
      <w:pPr>
        <w:pStyle w:val="Heading1"/>
      </w:pPr>
      <w:bookmarkStart w:id="11" w:name="_jilyp0fjn2pn" w:colFirst="0" w:colLast="0"/>
      <w:bookmarkEnd w:id="11"/>
      <w:r>
        <w:t>Race/ethnicity in the Harmonized Measures, QPR, and Sequence Metadata</w:t>
      </w:r>
    </w:p>
    <w:p w14:paraId="0B7EDDF3" w14:textId="77777777" w:rsidR="00895B32" w:rsidRDefault="00000000">
      <w:r>
        <w:t>Some sites report these measures differently. See below for description of how sites reported race/ethnicity measures in the Harmonized Measures vs. the Sequencing Metrics vs. AnVIL Sequence Metadata:</w:t>
      </w:r>
    </w:p>
    <w:p w14:paraId="1D1565DB" w14:textId="77777777" w:rsidR="00895B32" w:rsidRDefault="00895B32"/>
    <w:p w14:paraId="58F14D56" w14:textId="77777777" w:rsidR="00895B32" w:rsidRDefault="00895B32"/>
    <w:tbl>
      <w:tblPr>
        <w:tblStyle w:val="a1"/>
        <w:tblW w:w="96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610"/>
        <w:gridCol w:w="2685"/>
        <w:gridCol w:w="2655"/>
      </w:tblGrid>
      <w:tr w:rsidR="00895B32" w14:paraId="4FB2DF64" w14:textId="77777777">
        <w:tc>
          <w:tcPr>
            <w:tcW w:w="1710" w:type="dxa"/>
            <w:shd w:val="clear" w:color="auto" w:fill="auto"/>
            <w:tcMar>
              <w:top w:w="100" w:type="dxa"/>
              <w:left w:w="100" w:type="dxa"/>
              <w:bottom w:w="100" w:type="dxa"/>
              <w:right w:w="100" w:type="dxa"/>
            </w:tcMar>
          </w:tcPr>
          <w:p w14:paraId="3C30C0B9" w14:textId="77777777" w:rsidR="00895B32" w:rsidRDefault="00000000">
            <w:pPr>
              <w:widowControl w:val="0"/>
              <w:spacing w:line="240" w:lineRule="auto"/>
              <w:jc w:val="center"/>
              <w:rPr>
                <w:b/>
              </w:rPr>
            </w:pPr>
            <w:r>
              <w:rPr>
                <w:b/>
              </w:rPr>
              <w:lastRenderedPageBreak/>
              <w:t>Study</w:t>
            </w:r>
          </w:p>
        </w:tc>
        <w:tc>
          <w:tcPr>
            <w:tcW w:w="2610" w:type="dxa"/>
            <w:shd w:val="clear" w:color="auto" w:fill="auto"/>
            <w:tcMar>
              <w:top w:w="100" w:type="dxa"/>
              <w:left w:w="100" w:type="dxa"/>
              <w:bottom w:w="100" w:type="dxa"/>
              <w:right w:w="100" w:type="dxa"/>
            </w:tcMar>
          </w:tcPr>
          <w:p w14:paraId="355E42F0" w14:textId="77777777" w:rsidR="00895B32" w:rsidRDefault="00000000">
            <w:pPr>
              <w:widowControl w:val="0"/>
              <w:spacing w:line="240" w:lineRule="auto"/>
              <w:jc w:val="center"/>
              <w:rPr>
                <w:b/>
              </w:rPr>
            </w:pPr>
            <w:r>
              <w:rPr>
                <w:b/>
              </w:rPr>
              <w:t>Harmonized Measures Race/Ethnicity</w:t>
            </w:r>
          </w:p>
        </w:tc>
        <w:tc>
          <w:tcPr>
            <w:tcW w:w="2685" w:type="dxa"/>
            <w:shd w:val="clear" w:color="auto" w:fill="auto"/>
            <w:tcMar>
              <w:top w:w="100" w:type="dxa"/>
              <w:left w:w="100" w:type="dxa"/>
              <w:bottom w:w="100" w:type="dxa"/>
              <w:right w:w="100" w:type="dxa"/>
            </w:tcMar>
          </w:tcPr>
          <w:p w14:paraId="7C3AC0D5" w14:textId="77777777" w:rsidR="00895B32" w:rsidRDefault="00000000">
            <w:pPr>
              <w:widowControl w:val="0"/>
              <w:spacing w:line="240" w:lineRule="auto"/>
              <w:jc w:val="center"/>
              <w:rPr>
                <w:b/>
              </w:rPr>
            </w:pPr>
            <w:r>
              <w:rPr>
                <w:b/>
              </w:rPr>
              <w:t>Sequencing Metrics Race/Ethnicity</w:t>
            </w:r>
          </w:p>
        </w:tc>
        <w:tc>
          <w:tcPr>
            <w:tcW w:w="2655" w:type="dxa"/>
            <w:shd w:val="clear" w:color="auto" w:fill="auto"/>
            <w:tcMar>
              <w:top w:w="100" w:type="dxa"/>
              <w:left w:w="100" w:type="dxa"/>
              <w:bottom w:w="100" w:type="dxa"/>
              <w:right w:w="100" w:type="dxa"/>
            </w:tcMar>
          </w:tcPr>
          <w:p w14:paraId="7504AECD" w14:textId="77777777" w:rsidR="00895B32" w:rsidRDefault="00000000">
            <w:pPr>
              <w:widowControl w:val="0"/>
              <w:spacing w:line="240" w:lineRule="auto"/>
              <w:jc w:val="center"/>
              <w:rPr>
                <w:b/>
              </w:rPr>
            </w:pPr>
            <w:r>
              <w:rPr>
                <w:b/>
              </w:rPr>
              <w:t>AnVIL Subject Metadata Table</w:t>
            </w:r>
          </w:p>
        </w:tc>
      </w:tr>
      <w:tr w:rsidR="00895B32" w14:paraId="09037DA0" w14:textId="77777777">
        <w:tc>
          <w:tcPr>
            <w:tcW w:w="1710" w:type="dxa"/>
            <w:shd w:val="clear" w:color="auto" w:fill="auto"/>
            <w:tcMar>
              <w:top w:w="100" w:type="dxa"/>
              <w:left w:w="100" w:type="dxa"/>
              <w:bottom w:w="100" w:type="dxa"/>
              <w:right w:w="100" w:type="dxa"/>
            </w:tcMar>
          </w:tcPr>
          <w:p w14:paraId="1C30CEFB" w14:textId="77777777" w:rsidR="00895B32" w:rsidRDefault="00000000">
            <w:pPr>
              <w:jc w:val="center"/>
            </w:pPr>
            <w:r>
              <w:t>CHARM</w:t>
            </w:r>
          </w:p>
        </w:tc>
        <w:tc>
          <w:tcPr>
            <w:tcW w:w="2610" w:type="dxa"/>
            <w:shd w:val="clear" w:color="auto" w:fill="auto"/>
            <w:tcMar>
              <w:top w:w="100" w:type="dxa"/>
              <w:left w:w="100" w:type="dxa"/>
              <w:bottom w:w="100" w:type="dxa"/>
              <w:right w:w="100" w:type="dxa"/>
            </w:tcMar>
          </w:tcPr>
          <w:p w14:paraId="178129E2" w14:textId="77777777" w:rsidR="00895B32" w:rsidRDefault="00000000">
            <w:pPr>
              <w:widowControl w:val="0"/>
              <w:spacing w:line="240" w:lineRule="auto"/>
            </w:pPr>
            <w:r>
              <w:t xml:space="preserve">The harmonized measure is the direct self report from the baseline survey. Data is missing for people who did not complete the baseline survey or that item on the survey. </w:t>
            </w:r>
          </w:p>
        </w:tc>
        <w:tc>
          <w:tcPr>
            <w:tcW w:w="2685" w:type="dxa"/>
            <w:shd w:val="clear" w:color="auto" w:fill="auto"/>
            <w:tcMar>
              <w:top w:w="100" w:type="dxa"/>
              <w:left w:w="100" w:type="dxa"/>
              <w:bottom w:w="100" w:type="dxa"/>
              <w:right w:w="100" w:type="dxa"/>
            </w:tcMar>
          </w:tcPr>
          <w:p w14:paraId="51308D81" w14:textId="77777777" w:rsidR="00895B32" w:rsidRDefault="00000000">
            <w:pPr>
              <w:widowControl w:val="0"/>
              <w:spacing w:line="240" w:lineRule="auto"/>
            </w:pPr>
            <w:r>
              <w:t xml:space="preserve">For the QPR enrollment summary, we supplemented baseline self-report with race and ethnicity data from the patient's electronic medical record, for patients who were missing baseline data. </w:t>
            </w:r>
          </w:p>
        </w:tc>
        <w:tc>
          <w:tcPr>
            <w:tcW w:w="2655" w:type="dxa"/>
            <w:shd w:val="clear" w:color="auto" w:fill="auto"/>
            <w:tcMar>
              <w:top w:w="100" w:type="dxa"/>
              <w:left w:w="100" w:type="dxa"/>
              <w:bottom w:w="100" w:type="dxa"/>
              <w:right w:w="100" w:type="dxa"/>
            </w:tcMar>
          </w:tcPr>
          <w:p w14:paraId="4EB175DD" w14:textId="77777777" w:rsidR="00895B32" w:rsidRDefault="00000000">
            <w:pPr>
              <w:widowControl w:val="0"/>
              <w:spacing w:line="240" w:lineRule="auto"/>
            </w:pPr>
            <w:r>
              <w:t>Same as QPR</w:t>
            </w:r>
          </w:p>
        </w:tc>
      </w:tr>
      <w:tr w:rsidR="00895B32" w14:paraId="2E3E4604" w14:textId="77777777">
        <w:tc>
          <w:tcPr>
            <w:tcW w:w="1710" w:type="dxa"/>
            <w:shd w:val="clear" w:color="auto" w:fill="auto"/>
            <w:tcMar>
              <w:top w:w="100" w:type="dxa"/>
              <w:left w:w="100" w:type="dxa"/>
              <w:bottom w:w="100" w:type="dxa"/>
              <w:right w:w="100" w:type="dxa"/>
            </w:tcMar>
          </w:tcPr>
          <w:p w14:paraId="65F70A89" w14:textId="77777777" w:rsidR="00895B32" w:rsidRDefault="00000000">
            <w:pPr>
              <w:jc w:val="center"/>
            </w:pPr>
            <w:r>
              <w:t>ClinSeq</w:t>
            </w:r>
          </w:p>
        </w:tc>
        <w:tc>
          <w:tcPr>
            <w:tcW w:w="2610" w:type="dxa"/>
            <w:shd w:val="clear" w:color="auto" w:fill="auto"/>
            <w:tcMar>
              <w:top w:w="100" w:type="dxa"/>
              <w:left w:w="100" w:type="dxa"/>
              <w:bottom w:w="100" w:type="dxa"/>
              <w:right w:w="100" w:type="dxa"/>
            </w:tcMar>
          </w:tcPr>
          <w:p w14:paraId="515C1870" w14:textId="77777777" w:rsidR="00895B32" w:rsidRDefault="00000000">
            <w:pPr>
              <w:widowControl w:val="0"/>
              <w:spacing w:line="240" w:lineRule="auto"/>
            </w:pPr>
            <w:r>
              <w:t>All demographic data, include race/ethnicity, was self-reported</w:t>
            </w:r>
          </w:p>
        </w:tc>
        <w:tc>
          <w:tcPr>
            <w:tcW w:w="2685" w:type="dxa"/>
            <w:shd w:val="clear" w:color="auto" w:fill="auto"/>
            <w:tcMar>
              <w:top w:w="100" w:type="dxa"/>
              <w:left w:w="100" w:type="dxa"/>
              <w:bottom w:w="100" w:type="dxa"/>
              <w:right w:w="100" w:type="dxa"/>
            </w:tcMar>
          </w:tcPr>
          <w:p w14:paraId="55226564" w14:textId="77777777" w:rsidR="00895B32" w:rsidRDefault="00000000">
            <w:pPr>
              <w:widowControl w:val="0"/>
              <w:spacing w:line="240" w:lineRule="auto"/>
            </w:pPr>
            <w:r>
              <w:t>No QPR data provided</w:t>
            </w:r>
          </w:p>
        </w:tc>
        <w:tc>
          <w:tcPr>
            <w:tcW w:w="2655" w:type="dxa"/>
            <w:shd w:val="clear" w:color="auto" w:fill="auto"/>
            <w:tcMar>
              <w:top w:w="100" w:type="dxa"/>
              <w:left w:w="100" w:type="dxa"/>
              <w:bottom w:w="100" w:type="dxa"/>
              <w:right w:w="100" w:type="dxa"/>
            </w:tcMar>
          </w:tcPr>
          <w:p w14:paraId="23988BF7" w14:textId="77777777" w:rsidR="00895B32" w:rsidRDefault="00000000">
            <w:pPr>
              <w:widowControl w:val="0"/>
              <w:spacing w:line="240" w:lineRule="auto"/>
            </w:pPr>
            <w:r>
              <w:t>NA</w:t>
            </w:r>
          </w:p>
        </w:tc>
      </w:tr>
      <w:tr w:rsidR="00895B32" w14:paraId="3030296C" w14:textId="77777777">
        <w:tc>
          <w:tcPr>
            <w:tcW w:w="1710" w:type="dxa"/>
            <w:shd w:val="clear" w:color="auto" w:fill="auto"/>
            <w:tcMar>
              <w:top w:w="100" w:type="dxa"/>
              <w:left w:w="100" w:type="dxa"/>
              <w:bottom w:w="100" w:type="dxa"/>
              <w:right w:w="100" w:type="dxa"/>
            </w:tcMar>
          </w:tcPr>
          <w:p w14:paraId="2610E5A4" w14:textId="77777777" w:rsidR="00895B32" w:rsidRDefault="00000000">
            <w:pPr>
              <w:jc w:val="center"/>
            </w:pPr>
            <w:r>
              <w:t>KidsCanSeq/</w:t>
            </w:r>
          </w:p>
          <w:p w14:paraId="7146846A" w14:textId="77777777" w:rsidR="00895B32" w:rsidRDefault="00000000">
            <w:pPr>
              <w:jc w:val="center"/>
            </w:pPr>
            <w:r>
              <w:t>TeleKidSeq</w:t>
            </w:r>
          </w:p>
        </w:tc>
        <w:tc>
          <w:tcPr>
            <w:tcW w:w="2610" w:type="dxa"/>
            <w:shd w:val="clear" w:color="auto" w:fill="auto"/>
            <w:tcMar>
              <w:top w:w="100" w:type="dxa"/>
              <w:left w:w="100" w:type="dxa"/>
              <w:bottom w:w="100" w:type="dxa"/>
              <w:right w:w="100" w:type="dxa"/>
            </w:tcMar>
          </w:tcPr>
          <w:p w14:paraId="3952CD6B" w14:textId="77777777" w:rsidR="00895B32" w:rsidRDefault="00000000">
            <w:pPr>
              <w:widowControl w:val="0"/>
              <w:spacing w:line="240" w:lineRule="auto"/>
            </w:pPr>
            <w:r>
              <w:t xml:space="preserve">Our race and ethnicity measure is asked in the Baseline survey and uses the CSER Harmonized measure that asks the Parent responding which category or categories best describe their child and separately themselves. We do not ask the Parent responding to report on the other Parent’s race and ethnicity. Some of those Parents (secondary parents) did also complete a baseline survey and responded on their own behalf but those data do not go to the DCC. </w:t>
            </w:r>
          </w:p>
          <w:p w14:paraId="389F65E7" w14:textId="77777777" w:rsidR="00895B32" w:rsidRDefault="00895B32">
            <w:pPr>
              <w:widowControl w:val="0"/>
              <w:spacing w:line="240" w:lineRule="auto"/>
            </w:pPr>
          </w:p>
          <w:p w14:paraId="56151533" w14:textId="77777777" w:rsidR="00895B32" w:rsidRDefault="00000000">
            <w:pPr>
              <w:widowControl w:val="0"/>
              <w:spacing w:line="240" w:lineRule="auto"/>
              <w:rPr>
                <w:i/>
              </w:rPr>
            </w:pPr>
            <w:r>
              <w:rPr>
                <w:i/>
              </w:rPr>
              <w:t xml:space="preserve">What category or categories best describe [your child participating in KidsCanSeq OR you]? Please check all that apply. </w:t>
            </w:r>
          </w:p>
          <w:p w14:paraId="01DB2DE8" w14:textId="77777777" w:rsidR="00895B32" w:rsidRDefault="00000000">
            <w:pPr>
              <w:widowControl w:val="0"/>
              <w:spacing w:line="240" w:lineRule="auto"/>
              <w:rPr>
                <w:i/>
              </w:rPr>
            </w:pPr>
            <w:r>
              <w:rPr>
                <w:i/>
              </w:rPr>
              <w:t>American Indian, Native American, or Alaskan Native</w:t>
            </w:r>
          </w:p>
          <w:p w14:paraId="507CD1BB" w14:textId="77777777" w:rsidR="00895B32" w:rsidRDefault="00000000">
            <w:pPr>
              <w:widowControl w:val="0"/>
              <w:spacing w:line="240" w:lineRule="auto"/>
              <w:rPr>
                <w:i/>
              </w:rPr>
            </w:pPr>
            <w:r>
              <w:rPr>
                <w:i/>
              </w:rPr>
              <w:t>Asian</w:t>
            </w:r>
          </w:p>
          <w:p w14:paraId="5F86D278" w14:textId="77777777" w:rsidR="00895B32" w:rsidRDefault="00000000">
            <w:pPr>
              <w:widowControl w:val="0"/>
              <w:spacing w:line="240" w:lineRule="auto"/>
              <w:rPr>
                <w:i/>
              </w:rPr>
            </w:pPr>
            <w:r>
              <w:rPr>
                <w:i/>
              </w:rPr>
              <w:lastRenderedPageBreak/>
              <w:t>Black or African American</w:t>
            </w:r>
          </w:p>
          <w:p w14:paraId="524526C6" w14:textId="77777777" w:rsidR="00895B32" w:rsidRDefault="00000000">
            <w:pPr>
              <w:widowControl w:val="0"/>
              <w:spacing w:line="240" w:lineRule="auto"/>
              <w:rPr>
                <w:i/>
              </w:rPr>
            </w:pPr>
            <w:r>
              <w:rPr>
                <w:i/>
              </w:rPr>
              <w:t>Native Hawaiian or Pacific Islander</w:t>
            </w:r>
          </w:p>
          <w:p w14:paraId="41ED6A53" w14:textId="77777777" w:rsidR="00895B32" w:rsidRDefault="00000000">
            <w:pPr>
              <w:widowControl w:val="0"/>
              <w:spacing w:line="240" w:lineRule="auto"/>
              <w:rPr>
                <w:i/>
              </w:rPr>
            </w:pPr>
            <w:r>
              <w:rPr>
                <w:i/>
              </w:rPr>
              <w:t>White or European American</w:t>
            </w:r>
          </w:p>
          <w:p w14:paraId="4C14B750" w14:textId="77777777" w:rsidR="00895B32" w:rsidRDefault="00000000">
            <w:pPr>
              <w:widowControl w:val="0"/>
              <w:spacing w:line="240" w:lineRule="auto"/>
              <w:rPr>
                <w:i/>
              </w:rPr>
            </w:pPr>
            <w:r>
              <w:rPr>
                <w:i/>
              </w:rPr>
              <w:t>Middle Eastern or North African/Mediterranean</w:t>
            </w:r>
          </w:p>
          <w:p w14:paraId="51C944A3" w14:textId="77777777" w:rsidR="00895B32" w:rsidRDefault="00000000">
            <w:pPr>
              <w:widowControl w:val="0"/>
              <w:spacing w:line="240" w:lineRule="auto"/>
              <w:rPr>
                <w:i/>
              </w:rPr>
            </w:pPr>
            <w:r>
              <w:rPr>
                <w:i/>
              </w:rPr>
              <w:t>Hispanic or Latino</w:t>
            </w:r>
          </w:p>
          <w:p w14:paraId="315B137B" w14:textId="77777777" w:rsidR="00895B32" w:rsidRDefault="00000000">
            <w:pPr>
              <w:widowControl w:val="0"/>
              <w:spacing w:line="240" w:lineRule="auto"/>
              <w:rPr>
                <w:i/>
              </w:rPr>
            </w:pPr>
            <w:r>
              <w:rPr>
                <w:i/>
              </w:rPr>
              <w:t>I prefer not to answer</w:t>
            </w:r>
          </w:p>
          <w:p w14:paraId="0E072F9A" w14:textId="77777777" w:rsidR="00895B32" w:rsidRDefault="00000000">
            <w:pPr>
              <w:widowControl w:val="0"/>
              <w:spacing w:line="240" w:lineRule="auto"/>
              <w:rPr>
                <w:i/>
              </w:rPr>
            </w:pPr>
            <w:r>
              <w:rPr>
                <w:i/>
              </w:rPr>
              <w:t>Unknown/None of these fully describe me</w:t>
            </w:r>
          </w:p>
        </w:tc>
        <w:tc>
          <w:tcPr>
            <w:tcW w:w="2685" w:type="dxa"/>
            <w:shd w:val="clear" w:color="auto" w:fill="auto"/>
            <w:tcMar>
              <w:top w:w="100" w:type="dxa"/>
              <w:left w:w="100" w:type="dxa"/>
              <w:bottom w:w="100" w:type="dxa"/>
              <w:right w:w="100" w:type="dxa"/>
            </w:tcMar>
          </w:tcPr>
          <w:p w14:paraId="44B9D939" w14:textId="77777777" w:rsidR="00895B32" w:rsidRDefault="00000000">
            <w:pPr>
              <w:widowControl w:val="0"/>
              <w:spacing w:line="240" w:lineRule="auto"/>
            </w:pPr>
            <w:r>
              <w:lastRenderedPageBreak/>
              <w:t>Same as Harmonized Measures</w:t>
            </w:r>
          </w:p>
        </w:tc>
        <w:tc>
          <w:tcPr>
            <w:tcW w:w="2655" w:type="dxa"/>
            <w:shd w:val="clear" w:color="auto" w:fill="auto"/>
            <w:tcMar>
              <w:top w:w="100" w:type="dxa"/>
              <w:left w:w="100" w:type="dxa"/>
              <w:bottom w:w="100" w:type="dxa"/>
              <w:right w:w="100" w:type="dxa"/>
            </w:tcMar>
          </w:tcPr>
          <w:p w14:paraId="28CF34FA" w14:textId="77777777" w:rsidR="00895B32" w:rsidRDefault="00000000">
            <w:pPr>
              <w:widowControl w:val="0"/>
              <w:spacing w:line="240" w:lineRule="auto"/>
            </w:pPr>
            <w:r>
              <w:t>Same as Harmonized Measures</w:t>
            </w:r>
          </w:p>
        </w:tc>
      </w:tr>
      <w:tr w:rsidR="00895B32" w14:paraId="289B9D7F" w14:textId="77777777">
        <w:tc>
          <w:tcPr>
            <w:tcW w:w="1710" w:type="dxa"/>
            <w:shd w:val="clear" w:color="auto" w:fill="auto"/>
            <w:tcMar>
              <w:top w:w="100" w:type="dxa"/>
              <w:left w:w="100" w:type="dxa"/>
              <w:bottom w:w="100" w:type="dxa"/>
              <w:right w:w="100" w:type="dxa"/>
            </w:tcMar>
          </w:tcPr>
          <w:p w14:paraId="42B1DC77" w14:textId="77777777" w:rsidR="00895B32" w:rsidRDefault="00000000">
            <w:pPr>
              <w:jc w:val="center"/>
            </w:pPr>
            <w:r>
              <w:t>NCGENES 2</w:t>
            </w:r>
          </w:p>
        </w:tc>
        <w:tc>
          <w:tcPr>
            <w:tcW w:w="2610" w:type="dxa"/>
            <w:shd w:val="clear" w:color="auto" w:fill="auto"/>
            <w:tcMar>
              <w:top w:w="100" w:type="dxa"/>
              <w:left w:w="100" w:type="dxa"/>
              <w:bottom w:w="100" w:type="dxa"/>
              <w:right w:w="100" w:type="dxa"/>
            </w:tcMar>
          </w:tcPr>
          <w:p w14:paraId="3C639EF7" w14:textId="77777777" w:rsidR="00895B32" w:rsidRDefault="00000000">
            <w:pPr>
              <w:widowControl w:val="0"/>
              <w:spacing w:line="240" w:lineRule="auto"/>
            </w:pPr>
            <w:r>
              <w:t xml:space="preserve">The harmonized measure is the direct self report from the baseline survey. Data is missing for people who did not complete the baseline survey or that item on the survey. </w:t>
            </w:r>
          </w:p>
        </w:tc>
        <w:tc>
          <w:tcPr>
            <w:tcW w:w="2685" w:type="dxa"/>
            <w:shd w:val="clear" w:color="auto" w:fill="auto"/>
            <w:tcMar>
              <w:top w:w="100" w:type="dxa"/>
              <w:left w:w="100" w:type="dxa"/>
              <w:bottom w:w="100" w:type="dxa"/>
              <w:right w:w="100" w:type="dxa"/>
            </w:tcMar>
          </w:tcPr>
          <w:p w14:paraId="54D64C7C" w14:textId="77777777" w:rsidR="00895B32" w:rsidRDefault="00000000">
            <w:pPr>
              <w:widowControl w:val="0"/>
              <w:spacing w:line="240" w:lineRule="auto"/>
            </w:pPr>
            <w:r>
              <w:t>Same as harmonized measures</w:t>
            </w:r>
          </w:p>
        </w:tc>
        <w:tc>
          <w:tcPr>
            <w:tcW w:w="2655" w:type="dxa"/>
            <w:shd w:val="clear" w:color="auto" w:fill="auto"/>
            <w:tcMar>
              <w:top w:w="100" w:type="dxa"/>
              <w:left w:w="100" w:type="dxa"/>
              <w:bottom w:w="100" w:type="dxa"/>
              <w:right w:w="100" w:type="dxa"/>
            </w:tcMar>
          </w:tcPr>
          <w:p w14:paraId="3C411A52" w14:textId="77777777" w:rsidR="00895B32" w:rsidRDefault="00000000">
            <w:pPr>
              <w:widowControl w:val="0"/>
              <w:spacing w:line="240" w:lineRule="auto"/>
            </w:pPr>
            <w:r>
              <w:t>Same as harmonized measures</w:t>
            </w:r>
          </w:p>
        </w:tc>
      </w:tr>
      <w:tr w:rsidR="00895B32" w14:paraId="0D64B604" w14:textId="77777777">
        <w:tc>
          <w:tcPr>
            <w:tcW w:w="1710" w:type="dxa"/>
            <w:shd w:val="clear" w:color="auto" w:fill="auto"/>
            <w:tcMar>
              <w:top w:w="100" w:type="dxa"/>
              <w:left w:w="100" w:type="dxa"/>
              <w:bottom w:w="100" w:type="dxa"/>
              <w:right w:w="100" w:type="dxa"/>
            </w:tcMar>
          </w:tcPr>
          <w:p w14:paraId="74F5E594" w14:textId="77777777" w:rsidR="00895B32" w:rsidRDefault="00000000">
            <w:pPr>
              <w:jc w:val="center"/>
            </w:pPr>
            <w:r>
              <w:t>NYCKidSeq/</w:t>
            </w:r>
          </w:p>
          <w:p w14:paraId="187553CE" w14:textId="77777777" w:rsidR="00895B32" w:rsidRDefault="00000000">
            <w:pPr>
              <w:jc w:val="center"/>
            </w:pPr>
            <w:r>
              <w:t>TeleKidSeq</w:t>
            </w:r>
          </w:p>
        </w:tc>
        <w:tc>
          <w:tcPr>
            <w:tcW w:w="2610" w:type="dxa"/>
            <w:shd w:val="clear" w:color="auto" w:fill="auto"/>
            <w:tcMar>
              <w:top w:w="100" w:type="dxa"/>
              <w:left w:w="100" w:type="dxa"/>
              <w:bottom w:w="100" w:type="dxa"/>
              <w:right w:w="100" w:type="dxa"/>
            </w:tcMar>
          </w:tcPr>
          <w:p w14:paraId="681CD52F" w14:textId="77777777" w:rsidR="00895B32" w:rsidRDefault="00000000">
            <w:pPr>
              <w:widowControl w:val="0"/>
              <w:spacing w:line="240" w:lineRule="auto"/>
            </w:pPr>
            <w:r>
              <w:t xml:space="preserve">Harmonized measure categories are used and administered within the baseline survey, parent reported. Data is missing for people who did not complete the baseline survey or that item on the survey. NYCKidSeq slightly adapted the questions (below) and added an additional option category “other, text” which is transformed into harmonized options. </w:t>
            </w:r>
          </w:p>
          <w:p w14:paraId="352B53A0" w14:textId="77777777" w:rsidR="00895B32" w:rsidRDefault="00895B32">
            <w:pPr>
              <w:widowControl w:val="0"/>
              <w:spacing w:line="240" w:lineRule="auto"/>
            </w:pPr>
          </w:p>
          <w:p w14:paraId="5A33FC03" w14:textId="77777777" w:rsidR="00895B32" w:rsidRDefault="00000000">
            <w:pPr>
              <w:widowControl w:val="0"/>
              <w:spacing w:line="240" w:lineRule="auto"/>
              <w:rPr>
                <w:i/>
              </w:rPr>
            </w:pPr>
            <w:r>
              <w:rPr>
                <w:i/>
              </w:rPr>
              <w:t xml:space="preserve">What category or categories best describe your child? Check all that apply. Mapped to </w:t>
            </w:r>
            <w:r>
              <w:t>race</w:t>
            </w:r>
            <w:r>
              <w:rPr>
                <w:b/>
              </w:rPr>
              <w:t>a</w:t>
            </w:r>
            <w:r>
              <w:t>_pbl___[1-9]</w:t>
            </w:r>
          </w:p>
          <w:p w14:paraId="1757E598" w14:textId="77777777" w:rsidR="00895B32" w:rsidRDefault="00895B32">
            <w:pPr>
              <w:widowControl w:val="0"/>
              <w:spacing w:line="240" w:lineRule="auto"/>
              <w:rPr>
                <w:i/>
              </w:rPr>
            </w:pPr>
          </w:p>
          <w:p w14:paraId="220FBE47" w14:textId="77777777" w:rsidR="00895B32" w:rsidRDefault="00000000">
            <w:pPr>
              <w:widowControl w:val="0"/>
              <w:spacing w:line="240" w:lineRule="auto"/>
              <w:rPr>
                <w:i/>
              </w:rPr>
            </w:pPr>
            <w:r>
              <w:rPr>
                <w:i/>
              </w:rPr>
              <w:t xml:space="preserve">What category or categories best describe the child's mother? Check all that apply. Mapped to </w:t>
            </w:r>
            <w:r>
              <w:rPr>
                <w:i/>
              </w:rPr>
              <w:lastRenderedPageBreak/>
              <w:t>race</w:t>
            </w:r>
            <w:r>
              <w:rPr>
                <w:b/>
                <w:i/>
              </w:rPr>
              <w:t>b</w:t>
            </w:r>
            <w:r>
              <w:rPr>
                <w:i/>
              </w:rPr>
              <w:t>_pbl___[1-9]</w:t>
            </w:r>
          </w:p>
          <w:p w14:paraId="51037D43" w14:textId="77777777" w:rsidR="00895B32" w:rsidRDefault="00895B32">
            <w:pPr>
              <w:widowControl w:val="0"/>
              <w:spacing w:line="240" w:lineRule="auto"/>
            </w:pPr>
          </w:p>
          <w:p w14:paraId="0DE95A85" w14:textId="77777777" w:rsidR="00895B32" w:rsidRDefault="00000000">
            <w:pPr>
              <w:widowControl w:val="0"/>
              <w:spacing w:line="240" w:lineRule="auto"/>
              <w:rPr>
                <w:i/>
              </w:rPr>
            </w:pPr>
            <w:r>
              <w:rPr>
                <w:i/>
              </w:rPr>
              <w:t>What category or categories best describe the child's father? Check all that apply. Mapped to</w:t>
            </w:r>
          </w:p>
          <w:p w14:paraId="4C42585D" w14:textId="77777777" w:rsidR="00895B32" w:rsidRDefault="00000000">
            <w:pPr>
              <w:widowControl w:val="0"/>
              <w:spacing w:line="240" w:lineRule="auto"/>
              <w:rPr>
                <w:i/>
              </w:rPr>
            </w:pPr>
            <w:r>
              <w:rPr>
                <w:i/>
              </w:rPr>
              <w:t>race</w:t>
            </w:r>
            <w:r>
              <w:rPr>
                <w:b/>
                <w:i/>
              </w:rPr>
              <w:t>c</w:t>
            </w:r>
            <w:r>
              <w:rPr>
                <w:i/>
              </w:rPr>
              <w:t>_pbl___[1-9]</w:t>
            </w:r>
          </w:p>
          <w:p w14:paraId="2844BC88" w14:textId="77777777" w:rsidR="00895B32" w:rsidRDefault="00895B32">
            <w:pPr>
              <w:widowControl w:val="0"/>
              <w:spacing w:line="240" w:lineRule="auto"/>
            </w:pPr>
          </w:p>
        </w:tc>
        <w:tc>
          <w:tcPr>
            <w:tcW w:w="2685" w:type="dxa"/>
            <w:shd w:val="clear" w:color="auto" w:fill="auto"/>
            <w:tcMar>
              <w:top w:w="100" w:type="dxa"/>
              <w:left w:w="100" w:type="dxa"/>
              <w:bottom w:w="100" w:type="dxa"/>
              <w:right w:w="100" w:type="dxa"/>
            </w:tcMar>
          </w:tcPr>
          <w:p w14:paraId="70017197" w14:textId="77777777" w:rsidR="00895B32" w:rsidRDefault="00000000">
            <w:pPr>
              <w:widowControl w:val="0"/>
              <w:spacing w:line="240" w:lineRule="auto"/>
            </w:pPr>
            <w:r>
              <w:lastRenderedPageBreak/>
              <w:t>Same as harmonized measures</w:t>
            </w:r>
          </w:p>
        </w:tc>
        <w:tc>
          <w:tcPr>
            <w:tcW w:w="2655" w:type="dxa"/>
            <w:shd w:val="clear" w:color="auto" w:fill="auto"/>
            <w:tcMar>
              <w:top w:w="100" w:type="dxa"/>
              <w:left w:w="100" w:type="dxa"/>
              <w:bottom w:w="100" w:type="dxa"/>
              <w:right w:w="100" w:type="dxa"/>
            </w:tcMar>
          </w:tcPr>
          <w:p w14:paraId="026F92F0" w14:textId="77777777" w:rsidR="00895B32" w:rsidRDefault="00000000">
            <w:pPr>
              <w:widowControl w:val="0"/>
              <w:spacing w:line="240" w:lineRule="auto"/>
            </w:pPr>
            <w:r>
              <w:t>Same as the harmonized measure for proband (child)</w:t>
            </w:r>
          </w:p>
        </w:tc>
      </w:tr>
      <w:tr w:rsidR="00895B32" w14:paraId="1D182FA9" w14:textId="77777777">
        <w:tc>
          <w:tcPr>
            <w:tcW w:w="1710" w:type="dxa"/>
            <w:shd w:val="clear" w:color="auto" w:fill="auto"/>
            <w:tcMar>
              <w:top w:w="100" w:type="dxa"/>
              <w:left w:w="100" w:type="dxa"/>
              <w:bottom w:w="100" w:type="dxa"/>
              <w:right w:w="100" w:type="dxa"/>
            </w:tcMar>
          </w:tcPr>
          <w:p w14:paraId="6BA76D1A" w14:textId="77777777" w:rsidR="00895B32" w:rsidRDefault="00000000">
            <w:pPr>
              <w:jc w:val="center"/>
            </w:pPr>
            <w:r>
              <w:t>P3EGS</w:t>
            </w:r>
          </w:p>
        </w:tc>
        <w:tc>
          <w:tcPr>
            <w:tcW w:w="2610" w:type="dxa"/>
            <w:shd w:val="clear" w:color="auto" w:fill="auto"/>
            <w:tcMar>
              <w:top w:w="100" w:type="dxa"/>
              <w:left w:w="100" w:type="dxa"/>
              <w:bottom w:w="100" w:type="dxa"/>
              <w:right w:w="100" w:type="dxa"/>
            </w:tcMar>
          </w:tcPr>
          <w:p w14:paraId="11117163" w14:textId="77777777" w:rsidR="00895B32" w:rsidRDefault="00000000">
            <w:pPr>
              <w:widowControl w:val="0"/>
              <w:spacing w:line="240" w:lineRule="auto"/>
            </w:pPr>
            <w:r>
              <w:t xml:space="preserve">P3EGS Harmonized Measures for self-identified Race/Ethnicity are administered in the Baseline Survey Demographic Questionnaire. Pre-COVID pandemic, parents were asked these questions during in-person clinic visits for enrollment, separately for mothers and fathers. P3EGS does not collect race/ethnicity information for the proband/child. After the COVID pandemic, most of the enrollment was done via telehealth, and the baseline demographic questionnaire was administered by an interviewee during a zoom call, or on the phone. If the baseline survey could not have been completed at the time of enrollment, GCs and CRCs followed up with the patients to complete them with a phone call. P3EGS administered the baseline demographic survey with interpreters in several languages other than English and Spanish. </w:t>
            </w:r>
          </w:p>
          <w:p w14:paraId="6537AF04" w14:textId="77777777" w:rsidR="00895B32" w:rsidRDefault="00000000">
            <w:pPr>
              <w:widowControl w:val="0"/>
              <w:spacing w:line="240" w:lineRule="auto"/>
            </w:pPr>
            <w:r>
              <w:t xml:space="preserve"> </w:t>
            </w:r>
          </w:p>
          <w:p w14:paraId="2442144E" w14:textId="77777777" w:rsidR="00895B32" w:rsidRDefault="00000000">
            <w:pPr>
              <w:widowControl w:val="0"/>
              <w:spacing w:line="240" w:lineRule="auto"/>
            </w:pPr>
            <w:r>
              <w:lastRenderedPageBreak/>
              <w:t>How would you describe your racial identity? (check all that apply)</w:t>
            </w:r>
          </w:p>
          <w:p w14:paraId="1611C4BD" w14:textId="77777777" w:rsidR="00895B32" w:rsidRDefault="00000000">
            <w:pPr>
              <w:widowControl w:val="0"/>
              <w:numPr>
                <w:ilvl w:val="0"/>
                <w:numId w:val="2"/>
              </w:numPr>
              <w:spacing w:line="240" w:lineRule="auto"/>
            </w:pPr>
            <w:r>
              <w:t>American Indian, Native American, or Alaska Native</w:t>
            </w:r>
          </w:p>
          <w:p w14:paraId="42B53651" w14:textId="77777777" w:rsidR="00895B32" w:rsidRDefault="00000000">
            <w:pPr>
              <w:widowControl w:val="0"/>
              <w:numPr>
                <w:ilvl w:val="0"/>
                <w:numId w:val="2"/>
              </w:numPr>
              <w:spacing w:line="240" w:lineRule="auto"/>
            </w:pPr>
            <w:r>
              <w:t>Asian</w:t>
            </w:r>
          </w:p>
          <w:p w14:paraId="3CF188FC" w14:textId="77777777" w:rsidR="00895B32" w:rsidRDefault="00000000">
            <w:pPr>
              <w:widowControl w:val="0"/>
              <w:numPr>
                <w:ilvl w:val="0"/>
                <w:numId w:val="2"/>
              </w:numPr>
              <w:spacing w:line="240" w:lineRule="auto"/>
            </w:pPr>
            <w:r>
              <w:t>Black or African-American</w:t>
            </w:r>
          </w:p>
          <w:p w14:paraId="1920F0EF" w14:textId="77777777" w:rsidR="00895B32" w:rsidRDefault="00000000">
            <w:pPr>
              <w:widowControl w:val="0"/>
              <w:numPr>
                <w:ilvl w:val="0"/>
                <w:numId w:val="2"/>
              </w:numPr>
              <w:spacing w:line="240" w:lineRule="auto"/>
            </w:pPr>
            <w:r>
              <w:t>Native Hawaiian, Samoan, Other Pacific Islander</w:t>
            </w:r>
          </w:p>
          <w:p w14:paraId="1FC7BBF2" w14:textId="77777777" w:rsidR="00895B32" w:rsidRDefault="00000000">
            <w:pPr>
              <w:widowControl w:val="0"/>
              <w:numPr>
                <w:ilvl w:val="0"/>
                <w:numId w:val="2"/>
              </w:numPr>
              <w:spacing w:line="240" w:lineRule="auto"/>
            </w:pPr>
            <w:r>
              <w:t>White or European American</w:t>
            </w:r>
          </w:p>
          <w:p w14:paraId="4C81F274" w14:textId="77777777" w:rsidR="00895B32" w:rsidRDefault="00000000">
            <w:pPr>
              <w:widowControl w:val="0"/>
              <w:numPr>
                <w:ilvl w:val="0"/>
                <w:numId w:val="2"/>
              </w:numPr>
              <w:spacing w:line="240" w:lineRule="auto"/>
            </w:pPr>
            <w:r>
              <w:t>Middle Eastern or North African/Mediterranean</w:t>
            </w:r>
          </w:p>
          <w:p w14:paraId="303F272E" w14:textId="77777777" w:rsidR="00895B32" w:rsidRDefault="00000000">
            <w:pPr>
              <w:widowControl w:val="0"/>
              <w:numPr>
                <w:ilvl w:val="0"/>
                <w:numId w:val="2"/>
              </w:numPr>
              <w:spacing w:line="240" w:lineRule="auto"/>
            </w:pPr>
            <w:r>
              <w:t>Hispanic/Latino(a)</w:t>
            </w:r>
          </w:p>
          <w:p w14:paraId="01CEDDCA" w14:textId="77777777" w:rsidR="00895B32" w:rsidRDefault="00000000">
            <w:pPr>
              <w:widowControl w:val="0"/>
              <w:numPr>
                <w:ilvl w:val="0"/>
                <w:numId w:val="2"/>
              </w:numPr>
              <w:spacing w:line="240" w:lineRule="auto"/>
            </w:pPr>
            <w:r>
              <w:t>Prefer not to answer</w:t>
            </w:r>
          </w:p>
          <w:p w14:paraId="781F4C32" w14:textId="77777777" w:rsidR="00895B32" w:rsidRDefault="00000000">
            <w:pPr>
              <w:widowControl w:val="0"/>
              <w:numPr>
                <w:ilvl w:val="0"/>
                <w:numId w:val="2"/>
              </w:numPr>
              <w:spacing w:line="240" w:lineRule="auto"/>
            </w:pPr>
            <w:r>
              <w:t>Unknown/none of these fully describe me</w:t>
            </w:r>
          </w:p>
          <w:p w14:paraId="63BB14BF" w14:textId="77777777" w:rsidR="00895B32" w:rsidRDefault="00895B32">
            <w:pPr>
              <w:widowControl w:val="0"/>
              <w:spacing w:line="240" w:lineRule="auto"/>
            </w:pPr>
          </w:p>
          <w:p w14:paraId="1B17DA9A" w14:textId="77777777" w:rsidR="00895B32" w:rsidRDefault="00895B32">
            <w:pPr>
              <w:widowControl w:val="0"/>
              <w:spacing w:line="240" w:lineRule="auto"/>
            </w:pPr>
          </w:p>
        </w:tc>
        <w:tc>
          <w:tcPr>
            <w:tcW w:w="2685" w:type="dxa"/>
            <w:shd w:val="clear" w:color="auto" w:fill="auto"/>
            <w:tcMar>
              <w:top w:w="100" w:type="dxa"/>
              <w:left w:w="100" w:type="dxa"/>
              <w:bottom w:w="100" w:type="dxa"/>
              <w:right w:w="100" w:type="dxa"/>
            </w:tcMar>
          </w:tcPr>
          <w:p w14:paraId="7D29F90B" w14:textId="77777777" w:rsidR="00895B32" w:rsidRDefault="00000000">
            <w:pPr>
              <w:widowControl w:val="0"/>
              <w:spacing w:line="240" w:lineRule="auto"/>
            </w:pPr>
            <w:r>
              <w:lastRenderedPageBreak/>
              <w:t>For the QPR Enrollment Summary: Enrollment summary asks for the race/ethnicity of the proband, which we do not collect in P3EGS. In the past we reported the total numbers (separately for mothers and fathers) based on self-identified race/ethnicity which caused some challenges for identifying the total number of probands enrolled. More recently, we have been using the same harmonized self-identified race/ethnicity data, and reporting only mothers’ information when available as the primary parent for both pediatric and prenatal patients. We believe the data from the enrollment summary may require further consideration for any further analysis as a proxy for proband race/ethnicity, because, again, we did not collect race/ethnicity information for the proband/child.</w:t>
            </w:r>
          </w:p>
          <w:p w14:paraId="4E44168D" w14:textId="77777777" w:rsidR="00895B32" w:rsidRDefault="00000000">
            <w:pPr>
              <w:widowControl w:val="0"/>
              <w:spacing w:line="240" w:lineRule="auto"/>
              <w:rPr>
                <w:rFonts w:ascii="Calibri" w:eastAsia="Calibri" w:hAnsi="Calibri" w:cs="Calibri"/>
              </w:rPr>
            </w:pPr>
            <w:r>
              <w:rPr>
                <w:rFonts w:ascii="Calibri" w:eastAsia="Calibri" w:hAnsi="Calibri" w:cs="Calibri"/>
              </w:rPr>
              <w:t xml:space="preserve"> </w:t>
            </w:r>
          </w:p>
          <w:p w14:paraId="25220D4B" w14:textId="77777777" w:rsidR="00895B32" w:rsidRDefault="00000000">
            <w:pPr>
              <w:widowControl w:val="0"/>
              <w:spacing w:line="240" w:lineRule="auto"/>
            </w:pPr>
            <w:r>
              <w:t xml:space="preserve">For the QPR activities description, when we report URM status, we use a variable in our screening and tracking form, completed by the enrolling clinician, or by </w:t>
            </w:r>
            <w:r>
              <w:lastRenderedPageBreak/>
              <w:t>the CRC, either based on patient’s response or based on information in medical records. We collect this per patient, and have used it as a measure of URM, but not to report specific categorization of race/ethnicity. We do not report or use this measure in analysis.</w:t>
            </w:r>
          </w:p>
          <w:p w14:paraId="2664C991" w14:textId="77777777" w:rsidR="00895B32" w:rsidRDefault="00895B32">
            <w:pPr>
              <w:widowControl w:val="0"/>
              <w:spacing w:line="240" w:lineRule="auto"/>
            </w:pPr>
          </w:p>
        </w:tc>
        <w:tc>
          <w:tcPr>
            <w:tcW w:w="2655" w:type="dxa"/>
            <w:shd w:val="clear" w:color="auto" w:fill="auto"/>
            <w:tcMar>
              <w:top w:w="100" w:type="dxa"/>
              <w:left w:w="100" w:type="dxa"/>
              <w:bottom w:w="100" w:type="dxa"/>
              <w:right w:w="100" w:type="dxa"/>
            </w:tcMar>
          </w:tcPr>
          <w:p w14:paraId="039598EB" w14:textId="77777777" w:rsidR="00895B32" w:rsidRDefault="00000000">
            <w:pPr>
              <w:widowControl w:val="0"/>
              <w:spacing w:line="240" w:lineRule="auto"/>
            </w:pPr>
            <w:r>
              <w:lastRenderedPageBreak/>
              <w:t>Same as harmonized measures</w:t>
            </w:r>
          </w:p>
        </w:tc>
      </w:tr>
      <w:tr w:rsidR="00895B32" w14:paraId="089CA571" w14:textId="77777777">
        <w:tc>
          <w:tcPr>
            <w:tcW w:w="1710" w:type="dxa"/>
            <w:shd w:val="clear" w:color="auto" w:fill="auto"/>
            <w:tcMar>
              <w:top w:w="100" w:type="dxa"/>
              <w:left w:w="100" w:type="dxa"/>
              <w:bottom w:w="100" w:type="dxa"/>
              <w:right w:w="100" w:type="dxa"/>
            </w:tcMar>
          </w:tcPr>
          <w:p w14:paraId="43E93A64" w14:textId="77777777" w:rsidR="00895B32" w:rsidRDefault="00000000">
            <w:pPr>
              <w:jc w:val="center"/>
            </w:pPr>
            <w:r>
              <w:t>SouthSeq</w:t>
            </w:r>
          </w:p>
        </w:tc>
        <w:tc>
          <w:tcPr>
            <w:tcW w:w="2610" w:type="dxa"/>
            <w:shd w:val="clear" w:color="auto" w:fill="auto"/>
            <w:tcMar>
              <w:top w:w="100" w:type="dxa"/>
              <w:left w:w="100" w:type="dxa"/>
              <w:bottom w:w="100" w:type="dxa"/>
              <w:right w:w="100" w:type="dxa"/>
            </w:tcMar>
          </w:tcPr>
          <w:p w14:paraId="6571D98E" w14:textId="77777777" w:rsidR="00895B32" w:rsidRDefault="00000000">
            <w:pPr>
              <w:widowControl w:val="0"/>
              <w:spacing w:line="240" w:lineRule="auto"/>
            </w:pPr>
            <w:r>
              <w:t>Our baseline measures are from the "Participant Enrollment" form which is filled out only by families enrolling into the clinical trial arm. Not every family can be enrolled into the clinical trial arm--some opt out, some were from before the trial began, some are ineligible due to language needs, etc. Each enrolled parent gets their own survey. This is worded similarly:</w:t>
            </w:r>
          </w:p>
          <w:p w14:paraId="5BB40483" w14:textId="77777777" w:rsidR="00895B32" w:rsidRDefault="00895B32">
            <w:pPr>
              <w:widowControl w:val="0"/>
              <w:spacing w:line="240" w:lineRule="auto"/>
            </w:pPr>
          </w:p>
          <w:p w14:paraId="241DECF5" w14:textId="77777777" w:rsidR="00895B32" w:rsidRDefault="00000000">
            <w:pPr>
              <w:widowControl w:val="0"/>
              <w:spacing w:line="240" w:lineRule="auto"/>
              <w:rPr>
                <w:i/>
              </w:rPr>
            </w:pPr>
            <w:r>
              <w:rPr>
                <w:i/>
              </w:rPr>
              <w:t>What category or categories best describe you? Check all that apply.</w:t>
            </w:r>
          </w:p>
          <w:p w14:paraId="2B1844E7" w14:textId="77777777" w:rsidR="00895B32" w:rsidRDefault="00895B32">
            <w:pPr>
              <w:widowControl w:val="0"/>
              <w:spacing w:line="240" w:lineRule="auto"/>
              <w:rPr>
                <w:i/>
              </w:rPr>
            </w:pPr>
          </w:p>
          <w:p w14:paraId="5D1819D9" w14:textId="77777777" w:rsidR="00895B32" w:rsidRDefault="00000000">
            <w:pPr>
              <w:widowControl w:val="0"/>
              <w:spacing w:line="240" w:lineRule="auto"/>
              <w:rPr>
                <w:i/>
              </w:rPr>
            </w:pPr>
            <w:r>
              <w:rPr>
                <w:i/>
              </w:rPr>
              <w:t>American Indian, Native American, or Alaskan Native</w:t>
            </w:r>
          </w:p>
          <w:p w14:paraId="00A48210" w14:textId="77777777" w:rsidR="00895B32" w:rsidRDefault="00000000">
            <w:pPr>
              <w:widowControl w:val="0"/>
              <w:spacing w:line="240" w:lineRule="auto"/>
              <w:rPr>
                <w:i/>
              </w:rPr>
            </w:pPr>
            <w:r>
              <w:rPr>
                <w:i/>
              </w:rPr>
              <w:t>Asian</w:t>
            </w:r>
          </w:p>
          <w:p w14:paraId="421E4653" w14:textId="77777777" w:rsidR="00895B32" w:rsidRDefault="00000000">
            <w:pPr>
              <w:widowControl w:val="0"/>
              <w:spacing w:line="240" w:lineRule="auto"/>
              <w:rPr>
                <w:i/>
              </w:rPr>
            </w:pPr>
            <w:r>
              <w:rPr>
                <w:i/>
              </w:rPr>
              <w:t>Black or African American</w:t>
            </w:r>
          </w:p>
          <w:p w14:paraId="1E7CC5EE" w14:textId="77777777" w:rsidR="00895B32" w:rsidRDefault="00000000">
            <w:pPr>
              <w:widowControl w:val="0"/>
              <w:spacing w:line="240" w:lineRule="auto"/>
              <w:rPr>
                <w:i/>
              </w:rPr>
            </w:pPr>
            <w:r>
              <w:rPr>
                <w:i/>
              </w:rPr>
              <w:t>Native Hawaiian/Pacific Islander</w:t>
            </w:r>
          </w:p>
          <w:p w14:paraId="33C2105B" w14:textId="77777777" w:rsidR="00895B32" w:rsidRDefault="00000000">
            <w:pPr>
              <w:widowControl w:val="0"/>
              <w:spacing w:line="240" w:lineRule="auto"/>
              <w:rPr>
                <w:i/>
              </w:rPr>
            </w:pPr>
            <w:r>
              <w:rPr>
                <w:i/>
              </w:rPr>
              <w:t>White or European American</w:t>
            </w:r>
          </w:p>
          <w:p w14:paraId="36FA452E" w14:textId="77777777" w:rsidR="00895B32" w:rsidRDefault="00000000">
            <w:pPr>
              <w:widowControl w:val="0"/>
              <w:spacing w:line="240" w:lineRule="auto"/>
              <w:rPr>
                <w:i/>
              </w:rPr>
            </w:pPr>
            <w:r>
              <w:rPr>
                <w:i/>
              </w:rPr>
              <w:t>Middle Eastern or North African/Mediterranean</w:t>
            </w:r>
          </w:p>
          <w:p w14:paraId="3A3CD28C" w14:textId="77777777" w:rsidR="00895B32" w:rsidRDefault="00000000">
            <w:pPr>
              <w:widowControl w:val="0"/>
              <w:spacing w:line="240" w:lineRule="auto"/>
              <w:rPr>
                <w:i/>
              </w:rPr>
            </w:pPr>
            <w:r>
              <w:rPr>
                <w:i/>
              </w:rPr>
              <w:t>Hispanic/Latino(a)</w:t>
            </w:r>
          </w:p>
          <w:p w14:paraId="4A6620B9" w14:textId="77777777" w:rsidR="00895B32" w:rsidRDefault="00000000">
            <w:pPr>
              <w:widowControl w:val="0"/>
              <w:spacing w:line="240" w:lineRule="auto"/>
              <w:rPr>
                <w:i/>
              </w:rPr>
            </w:pPr>
            <w:r>
              <w:rPr>
                <w:i/>
              </w:rPr>
              <w:t>Prefer not to answer</w:t>
            </w:r>
          </w:p>
          <w:p w14:paraId="4B022735" w14:textId="77777777" w:rsidR="00895B32" w:rsidRDefault="00000000">
            <w:pPr>
              <w:widowControl w:val="0"/>
              <w:spacing w:line="240" w:lineRule="auto"/>
              <w:rPr>
                <w:i/>
              </w:rPr>
            </w:pPr>
            <w:r>
              <w:rPr>
                <w:i/>
              </w:rPr>
              <w:t>Unknown/None of these fully describe me</w:t>
            </w:r>
          </w:p>
          <w:p w14:paraId="2CA6F977" w14:textId="77777777" w:rsidR="00895B32" w:rsidRDefault="00895B32">
            <w:pPr>
              <w:widowControl w:val="0"/>
              <w:spacing w:line="240" w:lineRule="auto"/>
            </w:pPr>
          </w:p>
          <w:p w14:paraId="1CBD2293" w14:textId="77777777" w:rsidR="00895B32" w:rsidRDefault="00000000">
            <w:pPr>
              <w:widowControl w:val="0"/>
              <w:spacing w:line="240" w:lineRule="auto"/>
            </w:pPr>
            <w:r>
              <w:t xml:space="preserve">So, there's the potential for difference if people answer differently with the research nurse, plus the difference in not having a direct option for American Indian / Native American / Alaskan Native in the survey which feeds the QPR. </w:t>
            </w:r>
          </w:p>
        </w:tc>
        <w:tc>
          <w:tcPr>
            <w:tcW w:w="2685" w:type="dxa"/>
            <w:shd w:val="clear" w:color="auto" w:fill="auto"/>
            <w:tcMar>
              <w:top w:w="100" w:type="dxa"/>
              <w:left w:w="100" w:type="dxa"/>
              <w:bottom w:w="100" w:type="dxa"/>
              <w:right w:w="100" w:type="dxa"/>
            </w:tcMar>
          </w:tcPr>
          <w:p w14:paraId="1EE41ACD" w14:textId="77777777" w:rsidR="00895B32" w:rsidRDefault="00000000">
            <w:pPr>
              <w:widowControl w:val="0"/>
              <w:spacing w:line="240" w:lineRule="auto"/>
            </w:pPr>
            <w:r>
              <w:lastRenderedPageBreak/>
              <w:t>The QPR info comes from our "Enrollment" survey which is filled out by the research nurses during enrollment into SouthSeq, which is worded:</w:t>
            </w:r>
          </w:p>
          <w:p w14:paraId="2FE4E332" w14:textId="77777777" w:rsidR="00895B32" w:rsidRDefault="00895B32">
            <w:pPr>
              <w:widowControl w:val="0"/>
              <w:spacing w:line="240" w:lineRule="auto"/>
            </w:pPr>
          </w:p>
          <w:p w14:paraId="7AECBBE5" w14:textId="77777777" w:rsidR="00895B32" w:rsidRDefault="00000000">
            <w:pPr>
              <w:widowControl w:val="0"/>
              <w:spacing w:line="240" w:lineRule="auto"/>
              <w:rPr>
                <w:i/>
              </w:rPr>
            </w:pPr>
            <w:r>
              <w:rPr>
                <w:i/>
              </w:rPr>
              <w:t>Race and Ethnicity of mother? (checkbox, select-multiple)</w:t>
            </w:r>
          </w:p>
          <w:p w14:paraId="66F12C03" w14:textId="77777777" w:rsidR="00895B32" w:rsidRDefault="00000000">
            <w:pPr>
              <w:widowControl w:val="0"/>
              <w:spacing w:line="240" w:lineRule="auto"/>
              <w:rPr>
                <w:i/>
              </w:rPr>
            </w:pPr>
            <w:r>
              <w:rPr>
                <w:i/>
              </w:rPr>
              <w:t>Black or African American</w:t>
            </w:r>
          </w:p>
          <w:p w14:paraId="4D32579D" w14:textId="77777777" w:rsidR="00895B32" w:rsidRDefault="00000000">
            <w:pPr>
              <w:widowControl w:val="0"/>
              <w:spacing w:line="240" w:lineRule="auto"/>
              <w:rPr>
                <w:i/>
              </w:rPr>
            </w:pPr>
            <w:r>
              <w:rPr>
                <w:i/>
              </w:rPr>
              <w:t>White or European American</w:t>
            </w:r>
          </w:p>
          <w:p w14:paraId="1F580ACA" w14:textId="77777777" w:rsidR="00895B32" w:rsidRDefault="00000000">
            <w:pPr>
              <w:widowControl w:val="0"/>
              <w:spacing w:line="240" w:lineRule="auto"/>
              <w:rPr>
                <w:i/>
              </w:rPr>
            </w:pPr>
            <w:r>
              <w:rPr>
                <w:i/>
              </w:rPr>
              <w:t>Asian</w:t>
            </w:r>
          </w:p>
          <w:p w14:paraId="0FA29850" w14:textId="77777777" w:rsidR="00895B32" w:rsidRDefault="00000000">
            <w:pPr>
              <w:widowControl w:val="0"/>
              <w:spacing w:line="240" w:lineRule="auto"/>
              <w:rPr>
                <w:i/>
              </w:rPr>
            </w:pPr>
            <w:r>
              <w:rPr>
                <w:i/>
              </w:rPr>
              <w:t>Hispanic or Latino</w:t>
            </w:r>
          </w:p>
          <w:p w14:paraId="6BB9FFFD" w14:textId="77777777" w:rsidR="00895B32" w:rsidRDefault="00000000">
            <w:pPr>
              <w:widowControl w:val="0"/>
              <w:spacing w:line="240" w:lineRule="auto"/>
              <w:rPr>
                <w:i/>
              </w:rPr>
            </w:pPr>
            <w:r>
              <w:rPr>
                <w:i/>
              </w:rPr>
              <w:t>Middle Eastern, North African or Mediterranean</w:t>
            </w:r>
          </w:p>
          <w:p w14:paraId="599E7F53" w14:textId="77777777" w:rsidR="00895B32" w:rsidRDefault="00000000">
            <w:pPr>
              <w:widowControl w:val="0"/>
              <w:spacing w:line="240" w:lineRule="auto"/>
              <w:rPr>
                <w:i/>
              </w:rPr>
            </w:pPr>
            <w:r>
              <w:rPr>
                <w:i/>
              </w:rPr>
              <w:t>Native Hawaiian or Pacific Islander</w:t>
            </w:r>
          </w:p>
          <w:p w14:paraId="30877B14" w14:textId="77777777" w:rsidR="00895B32" w:rsidRDefault="00000000">
            <w:pPr>
              <w:widowControl w:val="0"/>
              <w:spacing w:line="240" w:lineRule="auto"/>
              <w:rPr>
                <w:i/>
              </w:rPr>
            </w:pPr>
            <w:r>
              <w:rPr>
                <w:i/>
              </w:rPr>
              <w:lastRenderedPageBreak/>
              <w:t>Other: Please Explain (free text box)</w:t>
            </w:r>
          </w:p>
          <w:p w14:paraId="588985A1" w14:textId="77777777" w:rsidR="00895B32" w:rsidRDefault="00895B32">
            <w:pPr>
              <w:widowControl w:val="0"/>
              <w:spacing w:line="240" w:lineRule="auto"/>
            </w:pPr>
          </w:p>
          <w:p w14:paraId="2ED869C0" w14:textId="77777777" w:rsidR="00895B32" w:rsidRDefault="00000000">
            <w:pPr>
              <w:widowControl w:val="0"/>
              <w:spacing w:line="240" w:lineRule="auto"/>
              <w:rPr>
                <w:sz w:val="26"/>
                <w:szCs w:val="26"/>
              </w:rPr>
            </w:pPr>
            <w:r>
              <w:t>and a separate question for the father.</w:t>
            </w:r>
          </w:p>
        </w:tc>
        <w:tc>
          <w:tcPr>
            <w:tcW w:w="2655" w:type="dxa"/>
            <w:shd w:val="clear" w:color="auto" w:fill="auto"/>
            <w:tcMar>
              <w:top w:w="100" w:type="dxa"/>
              <w:left w:w="100" w:type="dxa"/>
              <w:bottom w:w="100" w:type="dxa"/>
              <w:right w:w="100" w:type="dxa"/>
            </w:tcMar>
          </w:tcPr>
          <w:p w14:paraId="3F5DB2AE" w14:textId="77777777" w:rsidR="00895B32" w:rsidRDefault="00000000">
            <w:pPr>
              <w:widowControl w:val="0"/>
              <w:spacing w:line="240" w:lineRule="auto"/>
            </w:pPr>
            <w:r>
              <w:lastRenderedPageBreak/>
              <w:t>Same as harmonized measures</w:t>
            </w:r>
          </w:p>
        </w:tc>
      </w:tr>
    </w:tbl>
    <w:p w14:paraId="7C838690" w14:textId="77777777" w:rsidR="00895B32" w:rsidRDefault="00895B32">
      <w:pPr>
        <w:pStyle w:val="Heading2"/>
      </w:pPr>
      <w:bookmarkStart w:id="12" w:name="_2vy8k81qsqtc" w:colFirst="0" w:colLast="0"/>
      <w:bookmarkEnd w:id="12"/>
    </w:p>
    <w:p w14:paraId="5CCE2A16" w14:textId="77777777" w:rsidR="00895B32" w:rsidRDefault="00000000">
      <w:pPr>
        <w:pStyle w:val="Heading1"/>
      </w:pPr>
      <w:bookmarkStart w:id="13" w:name="_hb8xv4xlve7t" w:colFirst="0" w:colLast="0"/>
      <w:bookmarkEnd w:id="13"/>
      <w:r>
        <w:t>Harmonized Measures</w:t>
      </w:r>
    </w:p>
    <w:p w14:paraId="6C317DDC" w14:textId="77777777" w:rsidR="00895B32" w:rsidRDefault="00000000">
      <w:pPr>
        <w:pStyle w:val="Heading2"/>
      </w:pPr>
      <w:bookmarkStart w:id="14" w:name="_g6ww8lsg1bhj" w:colFirst="0" w:colLast="0"/>
      <w:bookmarkEnd w:id="14"/>
      <w:r>
        <w:t>Site-Level consent procedures</w:t>
      </w:r>
    </w:p>
    <w:p w14:paraId="41B64207" w14:textId="77777777" w:rsidR="00895B32" w:rsidRDefault="00000000">
      <w:r>
        <w:t>All CSER sites followed institution-level consent procedures for onboarding patients to their respective studies.</w:t>
      </w:r>
    </w:p>
    <w:p w14:paraId="080FEFF9" w14:textId="77777777" w:rsidR="00895B32" w:rsidRDefault="00895B32"/>
    <w:tbl>
      <w:tblPr>
        <w:tblStyle w:val="a2"/>
        <w:tblW w:w="10320"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8760"/>
      </w:tblGrid>
      <w:tr w:rsidR="00895B32" w14:paraId="1C9057B1" w14:textId="77777777">
        <w:tc>
          <w:tcPr>
            <w:tcW w:w="1560" w:type="dxa"/>
            <w:shd w:val="clear" w:color="auto" w:fill="auto"/>
            <w:tcMar>
              <w:top w:w="100" w:type="dxa"/>
              <w:left w:w="100" w:type="dxa"/>
              <w:bottom w:w="100" w:type="dxa"/>
              <w:right w:w="100" w:type="dxa"/>
            </w:tcMar>
          </w:tcPr>
          <w:p w14:paraId="6675C65F" w14:textId="77777777" w:rsidR="00895B32" w:rsidRDefault="00000000">
            <w:pPr>
              <w:widowControl w:val="0"/>
              <w:spacing w:line="240" w:lineRule="auto"/>
              <w:jc w:val="center"/>
              <w:rPr>
                <w:b/>
              </w:rPr>
            </w:pPr>
            <w:r>
              <w:rPr>
                <w:b/>
              </w:rPr>
              <w:t>Study</w:t>
            </w:r>
          </w:p>
        </w:tc>
        <w:tc>
          <w:tcPr>
            <w:tcW w:w="8760" w:type="dxa"/>
            <w:shd w:val="clear" w:color="auto" w:fill="auto"/>
            <w:tcMar>
              <w:top w:w="100" w:type="dxa"/>
              <w:left w:w="100" w:type="dxa"/>
              <w:bottom w:w="100" w:type="dxa"/>
              <w:right w:w="100" w:type="dxa"/>
            </w:tcMar>
          </w:tcPr>
          <w:p w14:paraId="4F481D14" w14:textId="77777777" w:rsidR="00895B32" w:rsidRDefault="00000000">
            <w:pPr>
              <w:widowControl w:val="0"/>
              <w:spacing w:line="240" w:lineRule="auto"/>
              <w:jc w:val="center"/>
              <w:rPr>
                <w:b/>
              </w:rPr>
            </w:pPr>
            <w:r>
              <w:rPr>
                <w:b/>
              </w:rPr>
              <w:t>Consent Process</w:t>
            </w:r>
          </w:p>
        </w:tc>
      </w:tr>
      <w:tr w:rsidR="00895B32" w14:paraId="0775B1F2" w14:textId="77777777">
        <w:tc>
          <w:tcPr>
            <w:tcW w:w="1560" w:type="dxa"/>
            <w:shd w:val="clear" w:color="auto" w:fill="auto"/>
            <w:tcMar>
              <w:top w:w="100" w:type="dxa"/>
              <w:left w:w="100" w:type="dxa"/>
              <w:bottom w:w="100" w:type="dxa"/>
              <w:right w:w="100" w:type="dxa"/>
            </w:tcMar>
          </w:tcPr>
          <w:p w14:paraId="6880E974" w14:textId="77777777" w:rsidR="00895B32" w:rsidRDefault="00000000">
            <w:pPr>
              <w:jc w:val="center"/>
            </w:pPr>
            <w:r>
              <w:t>CHARM</w:t>
            </w:r>
          </w:p>
        </w:tc>
        <w:tc>
          <w:tcPr>
            <w:tcW w:w="8760" w:type="dxa"/>
            <w:shd w:val="clear" w:color="auto" w:fill="auto"/>
            <w:tcMar>
              <w:top w:w="100" w:type="dxa"/>
              <w:left w:w="100" w:type="dxa"/>
              <w:bottom w:w="100" w:type="dxa"/>
              <w:right w:w="100" w:type="dxa"/>
            </w:tcMar>
          </w:tcPr>
          <w:p w14:paraId="34890446" w14:textId="77777777" w:rsidR="00895B32" w:rsidRDefault="00000000">
            <w:pPr>
              <w:widowControl w:val="0"/>
              <w:spacing w:line="240" w:lineRule="auto"/>
            </w:pPr>
            <w:r>
              <w:t>Consent to the study includes sharing data with "federal databases." Participants are required to receive results related to cancer, but carrier findings and secondary findings are both optional.</w:t>
            </w:r>
          </w:p>
        </w:tc>
      </w:tr>
      <w:tr w:rsidR="00895B32" w14:paraId="6D653769" w14:textId="77777777">
        <w:tc>
          <w:tcPr>
            <w:tcW w:w="1560" w:type="dxa"/>
            <w:shd w:val="clear" w:color="auto" w:fill="auto"/>
            <w:tcMar>
              <w:top w:w="100" w:type="dxa"/>
              <w:left w:w="100" w:type="dxa"/>
              <w:bottom w:w="100" w:type="dxa"/>
              <w:right w:w="100" w:type="dxa"/>
            </w:tcMar>
          </w:tcPr>
          <w:p w14:paraId="49385373" w14:textId="77777777" w:rsidR="00895B32" w:rsidRDefault="00000000">
            <w:pPr>
              <w:jc w:val="center"/>
            </w:pPr>
            <w:r>
              <w:t>ClinSeq</w:t>
            </w:r>
          </w:p>
        </w:tc>
        <w:tc>
          <w:tcPr>
            <w:tcW w:w="8760" w:type="dxa"/>
            <w:shd w:val="clear" w:color="auto" w:fill="auto"/>
            <w:tcMar>
              <w:top w:w="100" w:type="dxa"/>
              <w:left w:w="100" w:type="dxa"/>
              <w:bottom w:w="100" w:type="dxa"/>
              <w:right w:w="100" w:type="dxa"/>
            </w:tcMar>
          </w:tcPr>
          <w:p w14:paraId="10E64802" w14:textId="77777777" w:rsidR="00895B32" w:rsidRDefault="00000000">
            <w:pPr>
              <w:widowControl w:val="0"/>
              <w:spacing w:line="240" w:lineRule="auto"/>
            </w:pPr>
            <w:r>
              <w:t>“</w:t>
            </w:r>
            <w:r>
              <w:rPr>
                <w:highlight w:val="white"/>
              </w:rPr>
              <w:t xml:space="preserve">The ClinSeq study was reviewed and approved by the NIH National Human Genome </w:t>
            </w:r>
            <w:r>
              <w:rPr>
                <w:highlight w:val="white"/>
              </w:rPr>
              <w:lastRenderedPageBreak/>
              <w:t xml:space="preserve">Research Institute and Suburban Hospital (Bethesda, Maryland) Institutional Review Boards. In addition, a certificate of confidentiality was obtained for the study to provide additional protection from forced disclosure of research results to third parties. At the initial enrollment of each participant, both the consent form and the associated discussion make it clear that the goal of ClinSeq is to examine the entire genome and to study any and all phenotypes, including a wide spectrum of diseases. The participants are informed that they will be contacted to determine if they are interested in learning about clinically relevant results, if discovered. In addition, participants are consented at the initial visit for permission to contact them to initiate discussions of additional follow-up testing of themselves and/or their family members (the latter being limited to basic phenotype studies and genotyping for cosegregation analyses). To protect the interests of the participants and to provide the investigators with an independent source of advice and review, we plan to establish a sequence variant review panel (i.e., a data-monitoring board). This panel will be comprised of experts in medical and molecular genetics who are otherwise not involved in ClinSeq; their charge will be to periodically review data regarding genes that have not yet been proven to cause human disease. For selected genes, we will pursue hypothesis-testing clinical research to determine if a sufficient data set can be generated to support causation and the return of results to the participants. Such research may involve studies of the population frequency of sequence variants in cases and controls, in vitro or animal models, and participants with and without the variants in response to specific pathophysiologic perturbations. The resulting data will be presented to the sequence variant review panel to assess if the findings warrant the return of individual research information to the participants” </w:t>
            </w:r>
            <w:hyperlink r:id="rId27">
              <w:r>
                <w:rPr>
                  <w:highlight w:val="white"/>
                </w:rPr>
                <w:t>[2]</w:t>
              </w:r>
            </w:hyperlink>
            <w:r>
              <w:t>.</w:t>
            </w:r>
          </w:p>
        </w:tc>
      </w:tr>
      <w:tr w:rsidR="00895B32" w14:paraId="30F21DA6" w14:textId="77777777">
        <w:tc>
          <w:tcPr>
            <w:tcW w:w="1560" w:type="dxa"/>
            <w:shd w:val="clear" w:color="auto" w:fill="auto"/>
            <w:tcMar>
              <w:top w:w="100" w:type="dxa"/>
              <w:left w:w="100" w:type="dxa"/>
              <w:bottom w:w="100" w:type="dxa"/>
              <w:right w:w="100" w:type="dxa"/>
            </w:tcMar>
          </w:tcPr>
          <w:p w14:paraId="5F0BAA4F" w14:textId="77777777" w:rsidR="00895B32" w:rsidRDefault="00000000">
            <w:pPr>
              <w:jc w:val="center"/>
            </w:pPr>
            <w:r>
              <w:lastRenderedPageBreak/>
              <w:t>KidsCanSeq</w:t>
            </w:r>
          </w:p>
        </w:tc>
        <w:tc>
          <w:tcPr>
            <w:tcW w:w="8760" w:type="dxa"/>
            <w:shd w:val="clear" w:color="auto" w:fill="auto"/>
            <w:tcMar>
              <w:top w:w="100" w:type="dxa"/>
              <w:left w:w="100" w:type="dxa"/>
              <w:bottom w:w="100" w:type="dxa"/>
              <w:right w:w="100" w:type="dxa"/>
            </w:tcMar>
          </w:tcPr>
          <w:p w14:paraId="5D917994" w14:textId="77777777" w:rsidR="00895B32" w:rsidRDefault="00000000">
            <w:pPr>
              <w:widowControl w:val="0"/>
              <w:spacing w:line="240" w:lineRule="auto"/>
            </w:pPr>
            <w:r>
              <w:t>There is not an option to share data; it is mandatory. We have an opt in or out to receive secondary findings for patients and parents. We have an opt in or out to share patient tumor tissue from past or future surgeries. We have an opt in or out for patients to participate in our circulating tumor dna substudy.  We have an opt in or out for our parents, whose child is eligible, to reach out to the patient/child to participate in our AYA survey.</w:t>
            </w:r>
          </w:p>
        </w:tc>
      </w:tr>
      <w:tr w:rsidR="00895B32" w14:paraId="7E776C0B" w14:textId="77777777">
        <w:tc>
          <w:tcPr>
            <w:tcW w:w="1560" w:type="dxa"/>
            <w:shd w:val="clear" w:color="auto" w:fill="auto"/>
            <w:tcMar>
              <w:top w:w="100" w:type="dxa"/>
              <w:left w:w="100" w:type="dxa"/>
              <w:bottom w:w="100" w:type="dxa"/>
              <w:right w:w="100" w:type="dxa"/>
            </w:tcMar>
          </w:tcPr>
          <w:p w14:paraId="53683EF2" w14:textId="77777777" w:rsidR="00895B32" w:rsidRDefault="00000000">
            <w:pPr>
              <w:jc w:val="center"/>
            </w:pPr>
            <w:r>
              <w:t>NCGENES 2</w:t>
            </w:r>
          </w:p>
        </w:tc>
        <w:tc>
          <w:tcPr>
            <w:tcW w:w="8760" w:type="dxa"/>
            <w:shd w:val="clear" w:color="auto" w:fill="auto"/>
            <w:tcMar>
              <w:top w:w="100" w:type="dxa"/>
              <w:left w:w="100" w:type="dxa"/>
              <w:bottom w:w="100" w:type="dxa"/>
              <w:right w:w="100" w:type="dxa"/>
            </w:tcMar>
          </w:tcPr>
          <w:p w14:paraId="6143BB5B" w14:textId="77777777" w:rsidR="00895B32" w:rsidRDefault="00000000">
            <w:pPr>
              <w:widowControl w:val="0"/>
              <w:spacing w:line="240" w:lineRule="auto"/>
            </w:pPr>
            <w:r>
              <w:t xml:space="preserve">NCGENES 2 collects a verbal consent by phone for participation in intervention 1 (pre-visit prep and surveys). NCGENES 2 has 2 hard copy consent (Consent to Randomization to Research GS and IF RANDOMIZED TO RECEIVE GENOMIC SEQUENCING, then Consent to Research GS), and 2 corresponding assents if relevant (Assent to Randomization to Research GS and Assent to Research GS (used ONLY for children both chronologically and developmentally 7 or older)). NOTE: Assents come in 2 different versions; 1) assents for children over 7 chronologically who are ages 7-14 developmentally, AND 2) assents for children over 7 chronologically who are ages 15-17 developmentally]. NCGENES 2 offers options at the time of each of the 2 hard copy consents. The first is for future use of study data after NCGENES 2 is over - this is on the Consent to Randomization to Research GS. The second and third options are on the Consent to Research GS and include:1) option to receive secondary/incidental sequencing results, and 2) option to allow future research use of specimen (DNA) and related data. These same options are available to assenting children 15-17 but not to assenting children 7-14. The opt in or out items are presented as follows: “Do you agree to the use of you and your/your child’s data collected for the NCGENES study in future studies after NCGENES?” (in consent and assent 15-17-year old to Randomization to Research GS) AND “Do you agree to the analysis of genes that could provide medically actionable information that is unrelated to your child’s current </w:t>
            </w:r>
            <w:r>
              <w:lastRenderedPageBreak/>
              <w:t>condition be done as part of your child’s genomic sequencing? AND Do you agree to the use of your child’s study specimen (DNA) and related data in future studies after NCGENES?" (in the consent and assent 15-17-year old to Research GS).</w:t>
            </w:r>
          </w:p>
        </w:tc>
      </w:tr>
      <w:tr w:rsidR="00895B32" w14:paraId="724846BF" w14:textId="77777777">
        <w:tc>
          <w:tcPr>
            <w:tcW w:w="1560" w:type="dxa"/>
            <w:shd w:val="clear" w:color="auto" w:fill="auto"/>
            <w:tcMar>
              <w:top w:w="100" w:type="dxa"/>
              <w:left w:w="100" w:type="dxa"/>
              <w:bottom w:w="100" w:type="dxa"/>
              <w:right w:w="100" w:type="dxa"/>
            </w:tcMar>
          </w:tcPr>
          <w:p w14:paraId="4678E7F8" w14:textId="77777777" w:rsidR="00895B32" w:rsidRDefault="00000000">
            <w:pPr>
              <w:jc w:val="center"/>
            </w:pPr>
            <w:r>
              <w:lastRenderedPageBreak/>
              <w:t>NYCKidSeq</w:t>
            </w:r>
          </w:p>
        </w:tc>
        <w:tc>
          <w:tcPr>
            <w:tcW w:w="8760" w:type="dxa"/>
            <w:shd w:val="clear" w:color="auto" w:fill="auto"/>
            <w:tcMar>
              <w:top w:w="100" w:type="dxa"/>
              <w:left w:w="100" w:type="dxa"/>
              <w:bottom w:w="100" w:type="dxa"/>
              <w:right w:w="100" w:type="dxa"/>
            </w:tcMar>
          </w:tcPr>
          <w:p w14:paraId="2767E63E" w14:textId="77777777" w:rsidR="00895B32" w:rsidRDefault="00000000">
            <w:pPr>
              <w:widowControl w:val="0"/>
              <w:spacing w:line="240" w:lineRule="auto"/>
            </w:pPr>
            <w:r>
              <w:t>We have a parental/guardian consent for pediatric participants, a consent for cognitively intact adults (18-21 yrs), and a surrogate consent for cognitively impaired adults (essentially the same as parental/guardian for pediatric participants). They consent to surveys (parents only), blood draws and genomic testing, EHR review, and to storing/use of residual sample and data within NYCKidSeq. Participants can choose to 1) opt-in or opt-out of secondary findings for their child (or themselves if cog intact adult), 2) opt-in to sharing de-identified data/samples with researchers outside of NYCKidSeq (includes CSER) a), 3) opt-in to public sharing of genome date with secure, public databases (e.g., AnVIL, dbGap, ClinVar, other secure external databases). We also ask their preferences for participating in future research: a) to be contacted in the future to learn about new research studies, b) to be contacted in the future if the researchers would like additional samples.</w:t>
            </w:r>
          </w:p>
          <w:p w14:paraId="57F8A77F" w14:textId="77777777" w:rsidR="00895B32" w:rsidRDefault="00895B32">
            <w:pPr>
              <w:widowControl w:val="0"/>
              <w:spacing w:line="240" w:lineRule="auto"/>
            </w:pPr>
          </w:p>
          <w:p w14:paraId="793E9E35" w14:textId="77777777" w:rsidR="00895B32" w:rsidRDefault="00000000">
            <w:pPr>
              <w:widowControl w:val="0"/>
              <w:spacing w:line="240" w:lineRule="auto"/>
            </w:pPr>
            <w:r>
              <w:t>Participants, who are cognitively intact and turn 18 during the study, will be re-consented and data sharing preferences will be noted. Modifications to the initial CSER consent bucket will be made.</w:t>
            </w:r>
          </w:p>
        </w:tc>
      </w:tr>
      <w:tr w:rsidR="00895B32" w14:paraId="47E25B8A" w14:textId="77777777">
        <w:tc>
          <w:tcPr>
            <w:tcW w:w="1560" w:type="dxa"/>
            <w:shd w:val="clear" w:color="auto" w:fill="auto"/>
            <w:tcMar>
              <w:top w:w="100" w:type="dxa"/>
              <w:left w:w="100" w:type="dxa"/>
              <w:bottom w:w="100" w:type="dxa"/>
              <w:right w:w="100" w:type="dxa"/>
            </w:tcMar>
          </w:tcPr>
          <w:p w14:paraId="59CEF204" w14:textId="77777777" w:rsidR="00895B32" w:rsidRDefault="00000000">
            <w:pPr>
              <w:jc w:val="center"/>
            </w:pPr>
            <w:r>
              <w:t>P3EGS</w:t>
            </w:r>
          </w:p>
        </w:tc>
        <w:tc>
          <w:tcPr>
            <w:tcW w:w="8760" w:type="dxa"/>
            <w:shd w:val="clear" w:color="auto" w:fill="auto"/>
            <w:tcMar>
              <w:top w:w="100" w:type="dxa"/>
              <w:left w:w="100" w:type="dxa"/>
              <w:bottom w:w="100" w:type="dxa"/>
              <w:right w:w="100" w:type="dxa"/>
            </w:tcMar>
          </w:tcPr>
          <w:p w14:paraId="73275B31" w14:textId="77777777" w:rsidR="00895B32" w:rsidRDefault="00000000">
            <w:pPr>
              <w:widowControl w:val="0"/>
              <w:spacing w:line="240" w:lineRule="auto"/>
            </w:pPr>
            <w:r>
              <w:t>P3EGS pediatric biological parents are asked to consent on behalf of the proband and themselves. We have IRB approval for the pediatric arm to enroll up to 25 years of age for those patients who have been in the care of UCSF pediatrics department and fulfill enrollment criteria, and were offered testing even after 18 years of age. Consent is requested from both parents in the prenatal arm. Maternal consent form for the prenatal arm is used to consent biological mother and her fetus; paternal consent form is used for fathers only. P3EGS specifically asks participants with whom their genomic and research data can be shared with. They are informed that research and clinical data sharing is mandatory for study participation (sharing sequence data, harmonized survey data, phenotypic data, or result data with P3EGS collaborators, UCSF researchers, CSER/DCC, and ClinVar). We also inform them that participants may choose to opt out  of sharing sequence data, which is tracked on their consent forms as consenting to sharing data with “other research databases”. This is explained to patients as “government controlled-access databases” to include dbGap, AnVIL, or similar platforms. This question for broad data sharing is asked separately for the proband, mother and father. If they consent to broad data sharing, we code them as GRU (code label=1), for both sequence and survey data; if not, they are coded as CSER only (code label=6). Parents are also asked for permission to use samples for future research (Yes/No), whether or not to receive secondary findings (Yes/No) and whether or not to be recontacted for future research (Yes/No).</w:t>
            </w:r>
            <w:r>
              <w:rPr>
                <w:highlight w:val="yellow"/>
              </w:rPr>
              <w:t xml:space="preserve"> </w:t>
            </w:r>
          </w:p>
        </w:tc>
      </w:tr>
      <w:tr w:rsidR="00895B32" w14:paraId="70B3B676" w14:textId="77777777">
        <w:tc>
          <w:tcPr>
            <w:tcW w:w="1560" w:type="dxa"/>
            <w:shd w:val="clear" w:color="auto" w:fill="auto"/>
            <w:tcMar>
              <w:top w:w="100" w:type="dxa"/>
              <w:left w:w="100" w:type="dxa"/>
              <w:bottom w:w="100" w:type="dxa"/>
              <w:right w:w="100" w:type="dxa"/>
            </w:tcMar>
          </w:tcPr>
          <w:p w14:paraId="51DE96F9" w14:textId="77777777" w:rsidR="00895B32" w:rsidRDefault="00000000">
            <w:pPr>
              <w:jc w:val="center"/>
            </w:pPr>
            <w:r>
              <w:t>SouthSeq</w:t>
            </w:r>
          </w:p>
        </w:tc>
        <w:tc>
          <w:tcPr>
            <w:tcW w:w="8760" w:type="dxa"/>
            <w:shd w:val="clear" w:color="auto" w:fill="auto"/>
            <w:tcMar>
              <w:top w:w="100" w:type="dxa"/>
              <w:left w:w="100" w:type="dxa"/>
              <w:bottom w:w="100" w:type="dxa"/>
              <w:right w:w="100" w:type="dxa"/>
            </w:tcMar>
          </w:tcPr>
          <w:p w14:paraId="6352A021" w14:textId="77777777" w:rsidR="00895B32" w:rsidRDefault="00000000">
            <w:pPr>
              <w:widowControl w:val="0"/>
              <w:spacing w:line="240" w:lineRule="auto"/>
            </w:pPr>
            <w:r>
              <w:t>We have consent documents for each site, but in general, a signed consent allows for (1) blood draw for sequencing/Sanger confirmation, (2) completion of study surveys, (3) return of results and (4) sharing findings and de-identified info with ClinVar.</w:t>
            </w:r>
          </w:p>
          <w:p w14:paraId="73D5EB60" w14:textId="77777777" w:rsidR="00895B32" w:rsidRDefault="00000000">
            <w:pPr>
              <w:widowControl w:val="0"/>
              <w:spacing w:line="240" w:lineRule="auto"/>
            </w:pPr>
            <w:r>
              <w:t>Our participants are currently given the option to opt in or out of the following : (1) storage of specimens at HA for future research, (2) sharing data with NIH-designated repositories like dbGAP and AnVIL, (3) contact for future research opportunities, and (4) consent to receive secondary findings.</w:t>
            </w:r>
          </w:p>
        </w:tc>
      </w:tr>
    </w:tbl>
    <w:p w14:paraId="396BBEFC" w14:textId="77777777" w:rsidR="00895B32" w:rsidRDefault="00895B32"/>
    <w:p w14:paraId="758A9599" w14:textId="77777777" w:rsidR="00895B32" w:rsidRDefault="00000000">
      <w:pPr>
        <w:pStyle w:val="Heading2"/>
      </w:pPr>
      <w:bookmarkStart w:id="15" w:name="_ejwne8cxfoi" w:colFirst="0" w:colLast="0"/>
      <w:bookmarkEnd w:id="15"/>
      <w:r>
        <w:lastRenderedPageBreak/>
        <w:t>Site-level measure adaptations</w:t>
      </w:r>
    </w:p>
    <w:p w14:paraId="6099F66E" w14:textId="77777777" w:rsidR="00895B32" w:rsidRDefault="00000000">
      <w:r>
        <w:t xml:space="preserve">The current version of the cross-site Harmonized Measures </w:t>
      </w:r>
      <w:r>
        <w:rPr>
          <w:b/>
        </w:rPr>
        <w:t>Adaptation Dictionary</w:t>
      </w:r>
      <w:r>
        <w:t xml:space="preserve"> can be found in the </w:t>
      </w:r>
      <w:hyperlink r:id="rId28">
        <w:r>
          <w:rPr>
            <w:color w:val="1155CC"/>
            <w:u w:val="single"/>
          </w:rPr>
          <w:t>Resources</w:t>
        </w:r>
      </w:hyperlink>
      <w:r>
        <w:t xml:space="preserve"> section of the CSER home page on the AnVIL website.</w:t>
      </w:r>
    </w:p>
    <w:p w14:paraId="0D8FD0E0" w14:textId="77777777" w:rsidR="00895B32" w:rsidRDefault="00895B32"/>
    <w:p w14:paraId="614CDEF7" w14:textId="77777777" w:rsidR="00895B32" w:rsidRDefault="00000000">
      <w:pPr>
        <w:pStyle w:val="Heading2"/>
      </w:pPr>
      <w:bookmarkStart w:id="16" w:name="_k60abz88321d" w:colFirst="0" w:colLast="0"/>
      <w:bookmarkEnd w:id="16"/>
      <w:r>
        <w:t>Site-level survey administration protocols</w:t>
      </w:r>
    </w:p>
    <w:tbl>
      <w:tblPr>
        <w:tblStyle w:val="a3"/>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710"/>
      </w:tblGrid>
      <w:tr w:rsidR="00895B32" w14:paraId="27E3FF3C" w14:textId="77777777">
        <w:tc>
          <w:tcPr>
            <w:tcW w:w="1545" w:type="dxa"/>
            <w:shd w:val="clear" w:color="auto" w:fill="auto"/>
            <w:tcMar>
              <w:top w:w="100" w:type="dxa"/>
              <w:left w:w="100" w:type="dxa"/>
              <w:bottom w:w="100" w:type="dxa"/>
              <w:right w:w="100" w:type="dxa"/>
            </w:tcMar>
          </w:tcPr>
          <w:p w14:paraId="5D128F68" w14:textId="77777777" w:rsidR="00895B32" w:rsidRDefault="00000000">
            <w:pPr>
              <w:widowControl w:val="0"/>
              <w:spacing w:line="240" w:lineRule="auto"/>
              <w:jc w:val="center"/>
              <w:rPr>
                <w:b/>
              </w:rPr>
            </w:pPr>
            <w:r>
              <w:rPr>
                <w:b/>
              </w:rPr>
              <w:t>Study</w:t>
            </w:r>
          </w:p>
        </w:tc>
        <w:tc>
          <w:tcPr>
            <w:tcW w:w="7710" w:type="dxa"/>
            <w:shd w:val="clear" w:color="auto" w:fill="auto"/>
            <w:tcMar>
              <w:top w:w="100" w:type="dxa"/>
              <w:left w:w="100" w:type="dxa"/>
              <w:bottom w:w="100" w:type="dxa"/>
              <w:right w:w="100" w:type="dxa"/>
            </w:tcMar>
          </w:tcPr>
          <w:p w14:paraId="2C147547" w14:textId="77777777" w:rsidR="00895B32" w:rsidRDefault="00000000">
            <w:pPr>
              <w:widowControl w:val="0"/>
              <w:spacing w:line="240" w:lineRule="auto"/>
              <w:jc w:val="center"/>
              <w:rPr>
                <w:b/>
              </w:rPr>
            </w:pPr>
            <w:r>
              <w:rPr>
                <w:b/>
              </w:rPr>
              <w:t>Survey Randomization and/or Administration Protocols</w:t>
            </w:r>
          </w:p>
        </w:tc>
      </w:tr>
      <w:tr w:rsidR="00895B32" w14:paraId="4E784676" w14:textId="77777777">
        <w:tc>
          <w:tcPr>
            <w:tcW w:w="1545" w:type="dxa"/>
            <w:shd w:val="clear" w:color="auto" w:fill="auto"/>
            <w:tcMar>
              <w:top w:w="100" w:type="dxa"/>
              <w:left w:w="100" w:type="dxa"/>
              <w:bottom w:w="100" w:type="dxa"/>
              <w:right w:w="100" w:type="dxa"/>
            </w:tcMar>
          </w:tcPr>
          <w:p w14:paraId="70C35D7C" w14:textId="77777777" w:rsidR="00895B32" w:rsidRDefault="00000000">
            <w:pPr>
              <w:jc w:val="center"/>
            </w:pPr>
            <w:r>
              <w:t>CHARM</w:t>
            </w:r>
          </w:p>
        </w:tc>
        <w:tc>
          <w:tcPr>
            <w:tcW w:w="7710" w:type="dxa"/>
            <w:shd w:val="clear" w:color="auto" w:fill="auto"/>
            <w:tcMar>
              <w:top w:w="100" w:type="dxa"/>
              <w:left w:w="100" w:type="dxa"/>
              <w:bottom w:w="100" w:type="dxa"/>
              <w:right w:w="100" w:type="dxa"/>
            </w:tcMar>
          </w:tcPr>
          <w:p w14:paraId="11E66333" w14:textId="77777777" w:rsidR="00895B32" w:rsidRDefault="00000000">
            <w:pPr>
              <w:widowControl w:val="0"/>
              <w:spacing w:line="240" w:lineRule="auto"/>
            </w:pPr>
            <w:r>
              <w:t>Surveys were not randomized. Follow-up surveys were only sent to patients who received their sequencing results.</w:t>
            </w:r>
          </w:p>
        </w:tc>
      </w:tr>
      <w:tr w:rsidR="00895B32" w14:paraId="0E16D795" w14:textId="77777777">
        <w:tc>
          <w:tcPr>
            <w:tcW w:w="1545" w:type="dxa"/>
            <w:shd w:val="clear" w:color="auto" w:fill="auto"/>
            <w:tcMar>
              <w:top w:w="100" w:type="dxa"/>
              <w:left w:w="100" w:type="dxa"/>
              <w:bottom w:w="100" w:type="dxa"/>
              <w:right w:w="100" w:type="dxa"/>
            </w:tcMar>
          </w:tcPr>
          <w:p w14:paraId="7733F9C6" w14:textId="77777777" w:rsidR="00895B32" w:rsidRDefault="00000000">
            <w:pPr>
              <w:jc w:val="center"/>
            </w:pPr>
            <w:r>
              <w:t>ClinSeq</w:t>
            </w:r>
          </w:p>
        </w:tc>
        <w:tc>
          <w:tcPr>
            <w:tcW w:w="7710" w:type="dxa"/>
            <w:shd w:val="clear" w:color="auto" w:fill="auto"/>
            <w:tcMar>
              <w:top w:w="100" w:type="dxa"/>
              <w:left w:w="100" w:type="dxa"/>
              <w:bottom w:w="100" w:type="dxa"/>
              <w:right w:w="100" w:type="dxa"/>
            </w:tcMar>
          </w:tcPr>
          <w:p w14:paraId="20022A20" w14:textId="77777777" w:rsidR="00895B32" w:rsidRDefault="00000000">
            <w:pPr>
              <w:widowControl w:val="0"/>
              <w:spacing w:before="160" w:after="160" w:line="240" w:lineRule="auto"/>
            </w:pPr>
            <w:r>
              <w:rPr>
                <w:highlight w:val="white"/>
              </w:rPr>
              <w:t xml:space="preserve">“Each participant also provided self-reported demographic data including: age, gender, education, income, number of children, marital status, race, and ethnicity. ClinSeq participants who were enrolled for at least one month but had not yet received a sequence result were eligible to complete” an additional “survey on health-related socio-behavioral factors…Participants were recruited by mail, phone, or secure email. The survey was available both online and in a paper version; scales were administered in random order for each participant taking the online survey. Surveys responses were collected from August 2012 to April 2015. The survey stated that participant consent to participate was implicit in their completion of the survey, which was approved by the National Human Genome Institute (NHGRI) Institutional Review Board (IRB)” </w:t>
            </w:r>
            <w:hyperlink r:id="rId29">
              <w:r>
                <w:rPr>
                  <w:highlight w:val="white"/>
                </w:rPr>
                <w:t>[3]</w:t>
              </w:r>
            </w:hyperlink>
            <w:r>
              <w:t>.</w:t>
            </w:r>
          </w:p>
        </w:tc>
      </w:tr>
      <w:tr w:rsidR="00895B32" w14:paraId="21574DF1" w14:textId="77777777">
        <w:tc>
          <w:tcPr>
            <w:tcW w:w="1545" w:type="dxa"/>
            <w:shd w:val="clear" w:color="auto" w:fill="auto"/>
            <w:tcMar>
              <w:top w:w="100" w:type="dxa"/>
              <w:left w:w="100" w:type="dxa"/>
              <w:bottom w:w="100" w:type="dxa"/>
              <w:right w:w="100" w:type="dxa"/>
            </w:tcMar>
          </w:tcPr>
          <w:p w14:paraId="1D592D52" w14:textId="77777777" w:rsidR="00895B32" w:rsidRDefault="00000000">
            <w:pPr>
              <w:jc w:val="center"/>
            </w:pPr>
            <w:r>
              <w:t>KidsCanSeq</w:t>
            </w:r>
          </w:p>
        </w:tc>
        <w:tc>
          <w:tcPr>
            <w:tcW w:w="7710" w:type="dxa"/>
            <w:shd w:val="clear" w:color="auto" w:fill="auto"/>
            <w:tcMar>
              <w:top w:w="100" w:type="dxa"/>
              <w:left w:w="100" w:type="dxa"/>
              <w:bottom w:w="100" w:type="dxa"/>
              <w:right w:w="100" w:type="dxa"/>
            </w:tcMar>
          </w:tcPr>
          <w:p w14:paraId="012C737E" w14:textId="77777777" w:rsidR="00895B32" w:rsidRDefault="00000000">
            <w:pPr>
              <w:widowControl w:val="0"/>
              <w:spacing w:line="240" w:lineRule="auto"/>
            </w:pPr>
            <w:r>
              <w:t>Survey administration was matched at the provider level - when a provider had a patient with a positive result who got a survey, their next patient with a negative finding also got a survey.</w:t>
            </w:r>
          </w:p>
        </w:tc>
      </w:tr>
      <w:tr w:rsidR="00895B32" w14:paraId="517D6E45" w14:textId="77777777">
        <w:tc>
          <w:tcPr>
            <w:tcW w:w="1545" w:type="dxa"/>
            <w:shd w:val="clear" w:color="auto" w:fill="auto"/>
            <w:tcMar>
              <w:top w:w="100" w:type="dxa"/>
              <w:left w:w="100" w:type="dxa"/>
              <w:bottom w:w="100" w:type="dxa"/>
              <w:right w:w="100" w:type="dxa"/>
            </w:tcMar>
          </w:tcPr>
          <w:p w14:paraId="2D55CDA0" w14:textId="77777777" w:rsidR="00895B32" w:rsidRDefault="00000000">
            <w:pPr>
              <w:jc w:val="center"/>
            </w:pPr>
            <w:r>
              <w:t>NCGENES 2</w:t>
            </w:r>
          </w:p>
        </w:tc>
        <w:tc>
          <w:tcPr>
            <w:tcW w:w="7710" w:type="dxa"/>
            <w:shd w:val="clear" w:color="auto" w:fill="auto"/>
            <w:tcMar>
              <w:top w:w="100" w:type="dxa"/>
              <w:left w:w="100" w:type="dxa"/>
              <w:bottom w:w="100" w:type="dxa"/>
              <w:right w:w="100" w:type="dxa"/>
            </w:tcMar>
          </w:tcPr>
          <w:p w14:paraId="4FBE4582" w14:textId="77777777" w:rsidR="00895B32" w:rsidRDefault="00000000">
            <w:pPr>
              <w:widowControl w:val="0"/>
              <w:spacing w:line="240" w:lineRule="auto"/>
            </w:pPr>
            <w:r>
              <w:t xml:space="preserve">Participants were randomized into two interventions simultaneously (pre-visit preparation and genomic sequencing), creating four distinct groups: 1) pre-visit prep intervention and genomic sequencing, 2) pre-visit prep intervention and no genomic sequencing, 3) no pre-visit prep intervention and genomic sequencing, 4) no pre-visit prep intervention and no genomic sequencing. Survey administration was randomized at the site (UNC, Mission, ECU),  clinic level (pediatric genetics, pediatric neurology), and by served/underserved and represented/underrepresented status of eligible participants. </w:t>
            </w:r>
          </w:p>
        </w:tc>
      </w:tr>
      <w:tr w:rsidR="00895B32" w14:paraId="15D7C096" w14:textId="77777777">
        <w:tc>
          <w:tcPr>
            <w:tcW w:w="1545" w:type="dxa"/>
            <w:shd w:val="clear" w:color="auto" w:fill="auto"/>
            <w:tcMar>
              <w:top w:w="100" w:type="dxa"/>
              <w:left w:w="100" w:type="dxa"/>
              <w:bottom w:w="100" w:type="dxa"/>
              <w:right w:w="100" w:type="dxa"/>
            </w:tcMar>
          </w:tcPr>
          <w:p w14:paraId="53FC2DB9" w14:textId="77777777" w:rsidR="00895B32" w:rsidRDefault="00000000">
            <w:pPr>
              <w:jc w:val="center"/>
            </w:pPr>
            <w:r>
              <w:t>NYCKidSeq/</w:t>
            </w:r>
          </w:p>
          <w:p w14:paraId="0C72F830" w14:textId="77777777" w:rsidR="00895B32" w:rsidRDefault="00000000">
            <w:pPr>
              <w:jc w:val="center"/>
            </w:pPr>
            <w:r>
              <w:t>TeleKidSeq</w:t>
            </w:r>
          </w:p>
        </w:tc>
        <w:tc>
          <w:tcPr>
            <w:tcW w:w="7710" w:type="dxa"/>
            <w:shd w:val="clear" w:color="auto" w:fill="auto"/>
            <w:tcMar>
              <w:top w:w="100" w:type="dxa"/>
              <w:left w:w="100" w:type="dxa"/>
              <w:bottom w:w="100" w:type="dxa"/>
              <w:right w:w="100" w:type="dxa"/>
            </w:tcMar>
          </w:tcPr>
          <w:p w14:paraId="31A80515" w14:textId="77777777" w:rsidR="00895B32" w:rsidRDefault="00000000">
            <w:pPr>
              <w:widowControl w:val="0"/>
              <w:spacing w:line="240" w:lineRule="auto"/>
            </w:pPr>
            <w:r>
              <w:t>Surveys were administered to all participants (or parent proxies) who provided consent.</w:t>
            </w:r>
          </w:p>
        </w:tc>
      </w:tr>
      <w:tr w:rsidR="00895B32" w14:paraId="15F7A2F6" w14:textId="77777777">
        <w:tc>
          <w:tcPr>
            <w:tcW w:w="1545" w:type="dxa"/>
            <w:shd w:val="clear" w:color="auto" w:fill="auto"/>
            <w:tcMar>
              <w:top w:w="100" w:type="dxa"/>
              <w:left w:w="100" w:type="dxa"/>
              <w:bottom w:w="100" w:type="dxa"/>
              <w:right w:w="100" w:type="dxa"/>
            </w:tcMar>
          </w:tcPr>
          <w:p w14:paraId="1103F8B0" w14:textId="77777777" w:rsidR="00895B32" w:rsidRDefault="00000000">
            <w:pPr>
              <w:jc w:val="center"/>
            </w:pPr>
            <w:r>
              <w:t>P3EGS</w:t>
            </w:r>
          </w:p>
        </w:tc>
        <w:tc>
          <w:tcPr>
            <w:tcW w:w="7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82245" w14:textId="77777777" w:rsidR="00895B32" w:rsidRDefault="00000000">
            <w:pPr>
              <w:widowControl w:val="0"/>
              <w:spacing w:line="240" w:lineRule="auto"/>
            </w:pPr>
            <w:r>
              <w:t xml:space="preserve">Surveys were administered to all participants who were consented. Baseline demographic survey was administered by an interviewer, either during the clinical visit for enrollment, or  later through phone interviews. The two follow up surveys (FU1/Post-ROR and FU2) were administered via e-mail for modified versions for pediatric patients, prenatal patients with ongoing </w:t>
            </w:r>
            <w:r>
              <w:lastRenderedPageBreak/>
              <w:t>pregnancy, and prenatal patients with terminated pregnancy.</w:t>
            </w:r>
          </w:p>
        </w:tc>
      </w:tr>
      <w:tr w:rsidR="00895B32" w14:paraId="2870C339" w14:textId="77777777">
        <w:tc>
          <w:tcPr>
            <w:tcW w:w="1545" w:type="dxa"/>
            <w:shd w:val="clear" w:color="auto" w:fill="auto"/>
            <w:tcMar>
              <w:top w:w="100" w:type="dxa"/>
              <w:left w:w="100" w:type="dxa"/>
              <w:bottom w:w="100" w:type="dxa"/>
              <w:right w:w="100" w:type="dxa"/>
            </w:tcMar>
          </w:tcPr>
          <w:p w14:paraId="58336E70" w14:textId="77777777" w:rsidR="00895B32" w:rsidRDefault="00000000">
            <w:pPr>
              <w:jc w:val="center"/>
            </w:pPr>
            <w:r>
              <w:lastRenderedPageBreak/>
              <w:t>SouthSeq</w:t>
            </w:r>
          </w:p>
        </w:tc>
        <w:tc>
          <w:tcPr>
            <w:tcW w:w="7710" w:type="dxa"/>
            <w:shd w:val="clear" w:color="auto" w:fill="auto"/>
            <w:tcMar>
              <w:top w:w="100" w:type="dxa"/>
              <w:left w:w="100" w:type="dxa"/>
              <w:bottom w:w="100" w:type="dxa"/>
              <w:right w:w="100" w:type="dxa"/>
            </w:tcMar>
          </w:tcPr>
          <w:p w14:paraId="4820ABEF" w14:textId="77777777" w:rsidR="00895B32" w:rsidRDefault="00000000">
            <w:pPr>
              <w:widowControl w:val="0"/>
              <w:spacing w:line="240" w:lineRule="auto"/>
            </w:pPr>
            <w:r>
              <w:t>Surveys were administered to all participants who provided consent, regardless of the group to which they were randomized. The participants were randomized into two groups: (1) received genome sequencing results from a genetic counselor or (2) received genome sequencing results from a trained non-genetics provider. The primary outcome of our study was to measure any differences across the two groups by utilizing the GCOS.</w:t>
            </w:r>
          </w:p>
        </w:tc>
      </w:tr>
    </w:tbl>
    <w:p w14:paraId="08FE1B8E" w14:textId="77777777" w:rsidR="00895B32" w:rsidRDefault="00895B32"/>
    <w:p w14:paraId="1773D2C2" w14:textId="77777777" w:rsidR="00895B32" w:rsidRDefault="00000000">
      <w:pPr>
        <w:pStyle w:val="Heading2"/>
      </w:pPr>
      <w:bookmarkStart w:id="17" w:name="_pfuutbuqyl79" w:colFirst="0" w:colLast="0"/>
      <w:bookmarkEnd w:id="17"/>
      <w:r>
        <w:t>Site-level survey QC procedures</w:t>
      </w:r>
    </w:p>
    <w:p w14:paraId="51690A7B" w14:textId="77777777" w:rsidR="00895B32" w:rsidRDefault="00000000">
      <w:r>
        <w:t>Before CSER sites upload data to the DCC, they performed a rigorous set of data quality control procedures locally.</w:t>
      </w:r>
    </w:p>
    <w:p w14:paraId="45C3FEC1" w14:textId="77777777" w:rsidR="00895B32" w:rsidRDefault="00895B32"/>
    <w:tbl>
      <w:tblPr>
        <w:tblStyle w:val="a4"/>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710"/>
      </w:tblGrid>
      <w:tr w:rsidR="00895B32" w14:paraId="512816F7" w14:textId="77777777">
        <w:tc>
          <w:tcPr>
            <w:tcW w:w="1545" w:type="dxa"/>
            <w:shd w:val="clear" w:color="auto" w:fill="auto"/>
            <w:tcMar>
              <w:top w:w="100" w:type="dxa"/>
              <w:left w:w="100" w:type="dxa"/>
              <w:bottom w:w="100" w:type="dxa"/>
              <w:right w:w="100" w:type="dxa"/>
            </w:tcMar>
          </w:tcPr>
          <w:p w14:paraId="0B110570" w14:textId="77777777" w:rsidR="00895B32" w:rsidRDefault="00000000">
            <w:pPr>
              <w:widowControl w:val="0"/>
              <w:spacing w:line="240" w:lineRule="auto"/>
              <w:jc w:val="center"/>
              <w:rPr>
                <w:b/>
              </w:rPr>
            </w:pPr>
            <w:r>
              <w:rPr>
                <w:b/>
              </w:rPr>
              <w:t>Study</w:t>
            </w:r>
          </w:p>
        </w:tc>
        <w:tc>
          <w:tcPr>
            <w:tcW w:w="7710" w:type="dxa"/>
            <w:shd w:val="clear" w:color="auto" w:fill="auto"/>
            <w:tcMar>
              <w:top w:w="100" w:type="dxa"/>
              <w:left w:w="100" w:type="dxa"/>
              <w:bottom w:w="100" w:type="dxa"/>
              <w:right w:w="100" w:type="dxa"/>
            </w:tcMar>
          </w:tcPr>
          <w:p w14:paraId="270A4C91" w14:textId="77777777" w:rsidR="00895B32" w:rsidRDefault="00000000">
            <w:pPr>
              <w:widowControl w:val="0"/>
              <w:spacing w:line="240" w:lineRule="auto"/>
              <w:jc w:val="center"/>
              <w:rPr>
                <w:b/>
              </w:rPr>
            </w:pPr>
            <w:r>
              <w:rPr>
                <w:b/>
              </w:rPr>
              <w:t>Data Quality Control Procedures (Pre-DCC)</w:t>
            </w:r>
          </w:p>
        </w:tc>
      </w:tr>
      <w:tr w:rsidR="00895B32" w14:paraId="1A02790A" w14:textId="77777777">
        <w:tc>
          <w:tcPr>
            <w:tcW w:w="1545" w:type="dxa"/>
            <w:shd w:val="clear" w:color="auto" w:fill="auto"/>
            <w:tcMar>
              <w:top w:w="100" w:type="dxa"/>
              <w:left w:w="100" w:type="dxa"/>
              <w:bottom w:w="100" w:type="dxa"/>
              <w:right w:w="100" w:type="dxa"/>
            </w:tcMar>
          </w:tcPr>
          <w:p w14:paraId="0A05D5BB" w14:textId="77777777" w:rsidR="00895B32" w:rsidRDefault="00000000">
            <w:pPr>
              <w:jc w:val="center"/>
            </w:pPr>
            <w:r>
              <w:t>CHARM</w:t>
            </w:r>
          </w:p>
        </w:tc>
        <w:tc>
          <w:tcPr>
            <w:tcW w:w="7710" w:type="dxa"/>
            <w:shd w:val="clear" w:color="auto" w:fill="auto"/>
            <w:tcMar>
              <w:top w:w="100" w:type="dxa"/>
              <w:left w:w="100" w:type="dxa"/>
              <w:bottom w:w="100" w:type="dxa"/>
              <w:right w:w="100" w:type="dxa"/>
            </w:tcMar>
          </w:tcPr>
          <w:p w14:paraId="1CE50BCD" w14:textId="77777777" w:rsidR="00895B32" w:rsidRDefault="00000000">
            <w:pPr>
              <w:widowControl w:val="0"/>
              <w:spacing w:line="240" w:lineRule="auto"/>
            </w:pPr>
            <w:r>
              <w:t>Participants enter survey data directly into our REDCap database. CHARM data analysts import the REDCap into SAS where we run validity checks for missing variables, outliers and errors, as well as removing ineligible surveys. Our data dictionary has been mapped against the CSER harmonized data dictionary; we recoded the CSER harmonized variables based on the provided CSER data dictionary where relevant and excluded variables where the response options could not be recoded. All programming was reviewed with a second analyst.</w:t>
            </w:r>
          </w:p>
        </w:tc>
      </w:tr>
      <w:tr w:rsidR="00895B32" w14:paraId="321B108B" w14:textId="77777777">
        <w:tc>
          <w:tcPr>
            <w:tcW w:w="1545" w:type="dxa"/>
            <w:shd w:val="clear" w:color="auto" w:fill="auto"/>
            <w:tcMar>
              <w:top w:w="100" w:type="dxa"/>
              <w:left w:w="100" w:type="dxa"/>
              <w:bottom w:w="100" w:type="dxa"/>
              <w:right w:w="100" w:type="dxa"/>
            </w:tcMar>
          </w:tcPr>
          <w:p w14:paraId="6BEA25A2" w14:textId="77777777" w:rsidR="00895B32" w:rsidRDefault="00000000">
            <w:pPr>
              <w:jc w:val="center"/>
            </w:pPr>
            <w:r>
              <w:t>ClinSeq</w:t>
            </w:r>
          </w:p>
        </w:tc>
        <w:tc>
          <w:tcPr>
            <w:tcW w:w="7710" w:type="dxa"/>
            <w:shd w:val="clear" w:color="auto" w:fill="auto"/>
            <w:tcMar>
              <w:top w:w="100" w:type="dxa"/>
              <w:left w:w="100" w:type="dxa"/>
              <w:bottom w:w="100" w:type="dxa"/>
              <w:right w:w="100" w:type="dxa"/>
            </w:tcMar>
          </w:tcPr>
          <w:p w14:paraId="10B2B01D" w14:textId="77777777" w:rsidR="00895B32" w:rsidRDefault="00000000">
            <w:pPr>
              <w:widowControl w:val="0"/>
              <w:spacing w:before="160" w:after="160" w:line="240" w:lineRule="auto"/>
            </w:pPr>
            <w:r>
              <w:t>None provided</w:t>
            </w:r>
          </w:p>
        </w:tc>
      </w:tr>
      <w:tr w:rsidR="00895B32" w14:paraId="47BD5737" w14:textId="77777777">
        <w:tc>
          <w:tcPr>
            <w:tcW w:w="1545" w:type="dxa"/>
            <w:shd w:val="clear" w:color="auto" w:fill="auto"/>
            <w:tcMar>
              <w:top w:w="100" w:type="dxa"/>
              <w:left w:w="100" w:type="dxa"/>
              <w:bottom w:w="100" w:type="dxa"/>
              <w:right w:w="100" w:type="dxa"/>
            </w:tcMar>
          </w:tcPr>
          <w:p w14:paraId="53566D53" w14:textId="77777777" w:rsidR="00895B32" w:rsidRDefault="00000000">
            <w:pPr>
              <w:jc w:val="center"/>
            </w:pPr>
            <w:r>
              <w:t>KidsCanSeq</w:t>
            </w:r>
          </w:p>
        </w:tc>
        <w:tc>
          <w:tcPr>
            <w:tcW w:w="7710" w:type="dxa"/>
            <w:shd w:val="clear" w:color="auto" w:fill="auto"/>
            <w:tcMar>
              <w:top w:w="100" w:type="dxa"/>
              <w:left w:w="100" w:type="dxa"/>
              <w:bottom w:w="100" w:type="dxa"/>
              <w:right w:w="100" w:type="dxa"/>
            </w:tcMar>
          </w:tcPr>
          <w:p w14:paraId="35ACF846" w14:textId="77777777" w:rsidR="00895B32" w:rsidRDefault="00000000">
            <w:pPr>
              <w:widowControl w:val="0"/>
              <w:spacing w:line="240" w:lineRule="auto"/>
            </w:pPr>
            <w:r>
              <w:t>The electronic survey data are pulled by the database programmers and recoded to map onto the CSER harmonized variables per the CSER Data Dictionary. The database programmers run a QC check after generating the data as a report from the database. Recoded data is then verified back to our KCS site-specific coded data for QC purposes by a data analyst and approved by the research manager. Any residual issues are brought back to the database programmers for recoding, and the data are checked again before upload to the REDCap database.</w:t>
            </w:r>
          </w:p>
        </w:tc>
      </w:tr>
      <w:tr w:rsidR="00895B32" w14:paraId="0AFCBEDD" w14:textId="77777777">
        <w:tc>
          <w:tcPr>
            <w:tcW w:w="1545" w:type="dxa"/>
            <w:shd w:val="clear" w:color="auto" w:fill="auto"/>
            <w:tcMar>
              <w:top w:w="100" w:type="dxa"/>
              <w:left w:w="100" w:type="dxa"/>
              <w:bottom w:w="100" w:type="dxa"/>
              <w:right w:w="100" w:type="dxa"/>
            </w:tcMar>
          </w:tcPr>
          <w:p w14:paraId="45C7C540" w14:textId="77777777" w:rsidR="00895B32" w:rsidRDefault="00000000">
            <w:pPr>
              <w:jc w:val="center"/>
            </w:pPr>
            <w:r>
              <w:t>NCGENES 2</w:t>
            </w:r>
          </w:p>
        </w:tc>
        <w:tc>
          <w:tcPr>
            <w:tcW w:w="7710" w:type="dxa"/>
            <w:shd w:val="clear" w:color="auto" w:fill="auto"/>
            <w:tcMar>
              <w:top w:w="100" w:type="dxa"/>
              <w:left w:w="100" w:type="dxa"/>
              <w:bottom w:w="100" w:type="dxa"/>
              <w:right w:w="100" w:type="dxa"/>
            </w:tcMar>
          </w:tcPr>
          <w:p w14:paraId="1BE71426" w14:textId="77777777" w:rsidR="00895B32" w:rsidRDefault="00000000">
            <w:pPr>
              <w:widowControl w:val="0"/>
              <w:spacing w:line="240" w:lineRule="auto"/>
            </w:pPr>
            <w:r>
              <w:t xml:space="preserve">The NCGENES 2 data collection and tracking system has automated logic and range value checks. Additionally, every attempt is made to ensure appropriate completion of the paper version of the Intake Survey (baseline) returned to the research team at the clinic visit. Additionally, the NCGENES 2 analyst reviews all surveys for missingness including missingness due to 1) skip patterns appropriately applied, and 2) missingness due to non-completion by parents either purposefully skipped or skipped in error (the latter 2 cannot be differentiated). Missing data reports by survey are sent to each site study coordinator for resolution. Resolution includes comparing electronic to paper versions, and either updating the data collection form or </w:t>
            </w:r>
            <w:r>
              <w:lastRenderedPageBreak/>
              <w:t>indicating that the parent skipped the question. This information is returned to the data analyst who then generates a cleaned analytic data set for upload to CSER at the next quarter. These missing data reports are generated and resolved quarterly.</w:t>
            </w:r>
          </w:p>
        </w:tc>
      </w:tr>
      <w:tr w:rsidR="00895B32" w14:paraId="42A8C4C0" w14:textId="77777777">
        <w:tc>
          <w:tcPr>
            <w:tcW w:w="1545" w:type="dxa"/>
            <w:shd w:val="clear" w:color="auto" w:fill="auto"/>
            <w:tcMar>
              <w:top w:w="100" w:type="dxa"/>
              <w:left w:w="100" w:type="dxa"/>
              <w:bottom w:w="100" w:type="dxa"/>
              <w:right w:w="100" w:type="dxa"/>
            </w:tcMar>
          </w:tcPr>
          <w:p w14:paraId="1D32DB96" w14:textId="77777777" w:rsidR="00895B32" w:rsidRDefault="00000000">
            <w:pPr>
              <w:jc w:val="center"/>
            </w:pPr>
            <w:r>
              <w:lastRenderedPageBreak/>
              <w:t>NYCKidSeq/</w:t>
            </w:r>
          </w:p>
          <w:p w14:paraId="431EBEEB" w14:textId="77777777" w:rsidR="00895B32" w:rsidRDefault="00000000">
            <w:pPr>
              <w:jc w:val="center"/>
            </w:pPr>
            <w:r>
              <w:t>TeleKidSeq</w:t>
            </w:r>
          </w:p>
        </w:tc>
        <w:tc>
          <w:tcPr>
            <w:tcW w:w="7710" w:type="dxa"/>
            <w:shd w:val="clear" w:color="auto" w:fill="auto"/>
            <w:tcMar>
              <w:top w:w="100" w:type="dxa"/>
              <w:left w:w="100" w:type="dxa"/>
              <w:bottom w:w="100" w:type="dxa"/>
              <w:right w:w="100" w:type="dxa"/>
            </w:tcMar>
          </w:tcPr>
          <w:p w14:paraId="0D8F0468" w14:textId="77777777" w:rsidR="00895B32" w:rsidRDefault="00000000">
            <w:pPr>
              <w:widowControl w:val="0"/>
              <w:spacing w:line="240" w:lineRule="auto"/>
            </w:pPr>
            <w:r>
              <w:t>Survey data is entered into RedCap. QC checks are frequently run to check for missing variables, outliers and errors. Our data dictionary has been mapped against the CSER harmonized data dictionary; we will be extracting the data, and recoding the CSER harmonized variables based on the provided CSER data dictionary. Transformed data is checked against raw data.</w:t>
            </w:r>
          </w:p>
        </w:tc>
      </w:tr>
      <w:tr w:rsidR="00895B32" w14:paraId="5689D22A" w14:textId="77777777">
        <w:tc>
          <w:tcPr>
            <w:tcW w:w="1545" w:type="dxa"/>
            <w:shd w:val="clear" w:color="auto" w:fill="auto"/>
            <w:tcMar>
              <w:top w:w="100" w:type="dxa"/>
              <w:left w:w="100" w:type="dxa"/>
              <w:bottom w:w="100" w:type="dxa"/>
              <w:right w:w="100" w:type="dxa"/>
            </w:tcMar>
          </w:tcPr>
          <w:p w14:paraId="5F90D1B7" w14:textId="77777777" w:rsidR="00895B32" w:rsidRDefault="00000000">
            <w:pPr>
              <w:jc w:val="center"/>
            </w:pPr>
            <w:r>
              <w:t>P3EGS</w:t>
            </w:r>
          </w:p>
        </w:tc>
        <w:tc>
          <w:tcPr>
            <w:tcW w:w="7710" w:type="dxa"/>
            <w:shd w:val="clear" w:color="auto" w:fill="auto"/>
            <w:tcMar>
              <w:top w:w="100" w:type="dxa"/>
              <w:left w:w="100" w:type="dxa"/>
              <w:bottom w:w="100" w:type="dxa"/>
              <w:right w:w="100" w:type="dxa"/>
            </w:tcMar>
          </w:tcPr>
          <w:p w14:paraId="51CA3CC2" w14:textId="77777777" w:rsidR="00895B32" w:rsidRDefault="00000000">
            <w:pPr>
              <w:widowControl w:val="0"/>
              <w:spacing w:line="240" w:lineRule="auto"/>
            </w:pPr>
            <w:r>
              <w:t xml:space="preserve">Survey data are entered in RedCap. Key variables are routinely and systematically reviewed for accuracy/completeness. Project staff and GCs complete monthly data cleaning exercises depending on project needs. Necessary data mapping/transformations are discussed by site PMs/DMs &amp; programmers and effected according to agreed upon rules. Transformed data (for QPR, RPPR, DCC) are compared with P3EGS RedCap data to check for errors, which are discussed and resolved. </w:t>
            </w:r>
          </w:p>
        </w:tc>
      </w:tr>
      <w:tr w:rsidR="00895B32" w14:paraId="47783323" w14:textId="77777777">
        <w:tc>
          <w:tcPr>
            <w:tcW w:w="1545" w:type="dxa"/>
            <w:shd w:val="clear" w:color="auto" w:fill="auto"/>
            <w:tcMar>
              <w:top w:w="100" w:type="dxa"/>
              <w:left w:w="100" w:type="dxa"/>
              <w:bottom w:w="100" w:type="dxa"/>
              <w:right w:w="100" w:type="dxa"/>
            </w:tcMar>
          </w:tcPr>
          <w:p w14:paraId="0050807C" w14:textId="77777777" w:rsidR="00895B32" w:rsidRDefault="00000000">
            <w:pPr>
              <w:jc w:val="center"/>
            </w:pPr>
            <w:r>
              <w:t>SouthSeq</w:t>
            </w:r>
          </w:p>
        </w:tc>
        <w:tc>
          <w:tcPr>
            <w:tcW w:w="7710" w:type="dxa"/>
            <w:shd w:val="clear" w:color="auto" w:fill="auto"/>
            <w:tcMar>
              <w:top w:w="100" w:type="dxa"/>
              <w:left w:w="100" w:type="dxa"/>
              <w:bottom w:w="100" w:type="dxa"/>
              <w:right w:w="100" w:type="dxa"/>
            </w:tcMar>
          </w:tcPr>
          <w:p w14:paraId="2B5DC5C0" w14:textId="77777777" w:rsidR="00895B32" w:rsidRDefault="00000000">
            <w:pPr>
              <w:widowControl w:val="0"/>
              <w:spacing w:line="240" w:lineRule="auto"/>
            </w:pPr>
            <w:r>
              <w:t>Before uploading, we ensure that all mapped variables have at least one response (including from test data) and that all response variables have been properly converted to the DCC response scale. (Test data is NOT submitted to the DCC, so variables with 0 responses are possible.)</w:t>
            </w:r>
          </w:p>
        </w:tc>
      </w:tr>
    </w:tbl>
    <w:p w14:paraId="694EAC84" w14:textId="77777777" w:rsidR="00895B32" w:rsidRDefault="00895B32"/>
    <w:p w14:paraId="0A3D25E3" w14:textId="77777777" w:rsidR="00895B32" w:rsidRDefault="00000000">
      <w:pPr>
        <w:pStyle w:val="Heading2"/>
      </w:pPr>
      <w:bookmarkStart w:id="18" w:name="_105kfnoqya67" w:colFirst="0" w:colLast="0"/>
      <w:bookmarkEnd w:id="18"/>
      <w:r>
        <w:t>Site-level survey administration timelines</w:t>
      </w:r>
    </w:p>
    <w:p w14:paraId="66E33873" w14:textId="77777777" w:rsidR="00895B32" w:rsidRDefault="00000000">
      <w:r>
        <w:t xml:space="preserve">Details on when follow-up surveys were administered at each CSER site can be found in the </w:t>
      </w:r>
      <w:hyperlink r:id="rId30">
        <w:r>
          <w:rPr>
            <w:color w:val="1155CC"/>
            <w:u w:val="single"/>
          </w:rPr>
          <w:t>Resources</w:t>
        </w:r>
      </w:hyperlink>
      <w:r>
        <w:t xml:space="preserve"> section of the CSER home page on the AnVIL website.</w:t>
      </w:r>
    </w:p>
    <w:p w14:paraId="35F97C74" w14:textId="77777777" w:rsidR="00895B32" w:rsidRDefault="00895B32"/>
    <w:p w14:paraId="3F283E77" w14:textId="77777777" w:rsidR="00895B32" w:rsidRDefault="00000000">
      <w:pPr>
        <w:pStyle w:val="Heading2"/>
      </w:pPr>
      <w:bookmarkStart w:id="19" w:name="_28t6wg8bj4oq" w:colFirst="0" w:colLast="0"/>
      <w:bookmarkEnd w:id="19"/>
      <w:r>
        <w:t>Harmonized Measure FAQs</w:t>
      </w:r>
    </w:p>
    <w:p w14:paraId="05F12A49" w14:textId="77777777" w:rsidR="00895B32" w:rsidRDefault="00000000">
      <w:pPr>
        <w:pStyle w:val="Heading3"/>
      </w:pPr>
      <w:bookmarkStart w:id="20" w:name="_or94hoerbxtb" w:colFirst="0" w:colLast="0"/>
      <w:bookmarkEnd w:id="20"/>
      <w:r>
        <w:t>What is the difference between variables that end in _pbl and those that end in _abl?</w:t>
      </w:r>
    </w:p>
    <w:p w14:paraId="0FEFD7D6" w14:textId="77777777" w:rsidR="00895B32" w:rsidRDefault="00000000">
      <w:r>
        <w:t>Throughout the dataset, you will see most variables ending in either “_pbl” or “_abl”. These suffixes correspond to survey items answered by a parent proxy on behalf of a child or dependent, and to items answered by the patients themselves, respectively.</w:t>
      </w:r>
    </w:p>
    <w:p w14:paraId="7F37F1BF" w14:textId="77777777" w:rsidR="00895B32" w:rsidRDefault="00895B32"/>
    <w:p w14:paraId="204237C1" w14:textId="77777777" w:rsidR="00895B32" w:rsidRDefault="00000000">
      <w:pPr>
        <w:pStyle w:val="Heading3"/>
      </w:pPr>
      <w:bookmarkStart w:id="21" w:name="_dzikluftd8gi" w:colFirst="0" w:colLast="0"/>
      <w:bookmarkEnd w:id="21"/>
      <w:r>
        <w:lastRenderedPageBreak/>
        <w:t>Why is there free-text in the incom2_* variable responses?</w:t>
      </w:r>
    </w:p>
    <w:p w14:paraId="2761BB42" w14:textId="77777777" w:rsidR="00895B32" w:rsidRDefault="00000000">
      <w:r>
        <w:t>While this question asks participants to provide the number of dependents, participants were allowed to respond using free-text. For example, some responses may include text like “2 adults and 2 children.”</w:t>
      </w:r>
    </w:p>
    <w:p w14:paraId="6B59AC24" w14:textId="77777777" w:rsidR="00895B32" w:rsidRDefault="00895B32"/>
    <w:p w14:paraId="6A2DC0C2" w14:textId="77777777" w:rsidR="00895B32" w:rsidRDefault="00000000">
      <w:pPr>
        <w:pStyle w:val="Heading3"/>
      </w:pPr>
      <w:bookmarkStart w:id="22" w:name="_hcl5a3pixn5x" w:colFirst="0" w:colLast="0"/>
      <w:bookmarkEnd w:id="22"/>
      <w:r>
        <w:t>What do the three different race measures in the Parent Proxy Baseline survey tell us?</w:t>
      </w:r>
    </w:p>
    <w:p w14:paraId="7848D107" w14:textId="77777777" w:rsidR="00895B32" w:rsidRDefault="00000000">
      <w:pPr>
        <w:numPr>
          <w:ilvl w:val="0"/>
          <w:numId w:val="3"/>
        </w:numPr>
      </w:pPr>
      <w:r>
        <w:t>race</w:t>
      </w:r>
      <w:r>
        <w:rPr>
          <w:b/>
        </w:rPr>
        <w:t>a</w:t>
      </w:r>
      <w:r>
        <w:t xml:space="preserve">_pbl___[1-9]: These checkboxes describe the </w:t>
      </w:r>
      <w:r>
        <w:rPr>
          <w:b/>
        </w:rPr>
        <w:t>child’s</w:t>
      </w:r>
      <w:r>
        <w:t xml:space="preserve"> race, as reported by the parent completing the Baseline survey.</w:t>
      </w:r>
    </w:p>
    <w:p w14:paraId="1C87F1BB" w14:textId="77777777" w:rsidR="00895B32" w:rsidRDefault="00000000">
      <w:pPr>
        <w:numPr>
          <w:ilvl w:val="0"/>
          <w:numId w:val="3"/>
        </w:numPr>
      </w:pPr>
      <w:r>
        <w:t>race</w:t>
      </w:r>
      <w:r>
        <w:rPr>
          <w:b/>
        </w:rPr>
        <w:t>b</w:t>
      </w:r>
      <w:r>
        <w:t xml:space="preserve">_pbl___[1-9]: These checkboxes describe the race of the </w:t>
      </w:r>
      <w:r>
        <w:rPr>
          <w:b/>
        </w:rPr>
        <w:t>primary parent</w:t>
      </w:r>
      <w:r>
        <w:t xml:space="preserve"> (see </w:t>
      </w:r>
      <w:hyperlink w:anchor="_q8h1acbfbov2">
        <w:r>
          <w:rPr>
            <w:color w:val="1155CC"/>
            <w:u w:val="single"/>
          </w:rPr>
          <w:t>How does each site define “primary parent”?</w:t>
        </w:r>
      </w:hyperlink>
      <w:r>
        <w:t xml:space="preserve"> for details)</w:t>
      </w:r>
    </w:p>
    <w:p w14:paraId="265153E6" w14:textId="77777777" w:rsidR="00895B32" w:rsidRDefault="00000000">
      <w:pPr>
        <w:numPr>
          <w:ilvl w:val="0"/>
          <w:numId w:val="3"/>
        </w:numPr>
      </w:pPr>
      <w:r>
        <w:t>race</w:t>
      </w:r>
      <w:r>
        <w:rPr>
          <w:b/>
        </w:rPr>
        <w:t>c</w:t>
      </w:r>
      <w:r>
        <w:t xml:space="preserve">_pbl___[1-9]: These checkboxes describe the race of the </w:t>
      </w:r>
      <w:r>
        <w:rPr>
          <w:b/>
        </w:rPr>
        <w:t>non-primary parent</w:t>
      </w:r>
      <w:r>
        <w:t>.</w:t>
      </w:r>
    </w:p>
    <w:p w14:paraId="190C648A" w14:textId="77777777" w:rsidR="00895B32" w:rsidRDefault="00895B32"/>
    <w:p w14:paraId="0B79CEA3" w14:textId="77777777" w:rsidR="00895B32" w:rsidRDefault="00000000">
      <w:pPr>
        <w:pStyle w:val="Heading3"/>
      </w:pPr>
      <w:bookmarkStart w:id="23" w:name="_q8h1acbfbov2" w:colFirst="0" w:colLast="0"/>
      <w:bookmarkEnd w:id="23"/>
      <w:r>
        <w:t>How does each site define “primary parent”?</w:t>
      </w:r>
    </w:p>
    <w:p w14:paraId="5AF90826" w14:textId="77777777" w:rsidR="00895B32" w:rsidRDefault="00000000">
      <w:r>
        <w:t>Some response categories in the Parent Proxy measures only allow a response from one parent. For these responses, sites were asked to identify a “primary parent” whose responses were to be used. See below for descriptions of how sites defined the primary parent:</w:t>
      </w:r>
    </w:p>
    <w:p w14:paraId="1EBA77D8" w14:textId="77777777" w:rsidR="00895B32" w:rsidRDefault="00895B32"/>
    <w:tbl>
      <w:tblPr>
        <w:tblStyle w:val="a5"/>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710"/>
      </w:tblGrid>
      <w:tr w:rsidR="00895B32" w14:paraId="5FDAF140" w14:textId="77777777">
        <w:tc>
          <w:tcPr>
            <w:tcW w:w="1545" w:type="dxa"/>
            <w:shd w:val="clear" w:color="auto" w:fill="auto"/>
            <w:tcMar>
              <w:top w:w="100" w:type="dxa"/>
              <w:left w:w="100" w:type="dxa"/>
              <w:bottom w:w="100" w:type="dxa"/>
              <w:right w:w="100" w:type="dxa"/>
            </w:tcMar>
          </w:tcPr>
          <w:p w14:paraId="72944B5E" w14:textId="77777777" w:rsidR="00895B32" w:rsidRDefault="00000000">
            <w:pPr>
              <w:widowControl w:val="0"/>
              <w:spacing w:line="240" w:lineRule="auto"/>
              <w:jc w:val="center"/>
              <w:rPr>
                <w:b/>
              </w:rPr>
            </w:pPr>
            <w:r>
              <w:rPr>
                <w:b/>
              </w:rPr>
              <w:t>Study</w:t>
            </w:r>
          </w:p>
        </w:tc>
        <w:tc>
          <w:tcPr>
            <w:tcW w:w="7710" w:type="dxa"/>
            <w:shd w:val="clear" w:color="auto" w:fill="auto"/>
            <w:tcMar>
              <w:top w:w="100" w:type="dxa"/>
              <w:left w:w="100" w:type="dxa"/>
              <w:bottom w:w="100" w:type="dxa"/>
              <w:right w:w="100" w:type="dxa"/>
            </w:tcMar>
          </w:tcPr>
          <w:p w14:paraId="3E1C544D" w14:textId="77777777" w:rsidR="00895B32" w:rsidRDefault="00000000">
            <w:pPr>
              <w:widowControl w:val="0"/>
              <w:spacing w:line="240" w:lineRule="auto"/>
              <w:jc w:val="center"/>
              <w:rPr>
                <w:b/>
              </w:rPr>
            </w:pPr>
            <w:r>
              <w:rPr>
                <w:b/>
              </w:rPr>
              <w:t>Primary Parent Definition</w:t>
            </w:r>
          </w:p>
        </w:tc>
      </w:tr>
      <w:tr w:rsidR="00895B32" w14:paraId="2A8DBC4A" w14:textId="77777777">
        <w:tc>
          <w:tcPr>
            <w:tcW w:w="1545" w:type="dxa"/>
            <w:shd w:val="clear" w:color="auto" w:fill="auto"/>
            <w:tcMar>
              <w:top w:w="100" w:type="dxa"/>
              <w:left w:w="100" w:type="dxa"/>
              <w:bottom w:w="100" w:type="dxa"/>
              <w:right w:w="100" w:type="dxa"/>
            </w:tcMar>
          </w:tcPr>
          <w:p w14:paraId="6D6617F0" w14:textId="77777777" w:rsidR="00895B32" w:rsidRDefault="00000000">
            <w:pPr>
              <w:jc w:val="center"/>
            </w:pPr>
            <w:r>
              <w:t>CHARM</w:t>
            </w:r>
          </w:p>
        </w:tc>
        <w:tc>
          <w:tcPr>
            <w:tcW w:w="7710" w:type="dxa"/>
            <w:shd w:val="clear" w:color="auto" w:fill="auto"/>
            <w:tcMar>
              <w:top w:w="100" w:type="dxa"/>
              <w:left w:w="100" w:type="dxa"/>
              <w:bottom w:w="100" w:type="dxa"/>
              <w:right w:w="100" w:type="dxa"/>
            </w:tcMar>
          </w:tcPr>
          <w:p w14:paraId="00B13D6A" w14:textId="77777777" w:rsidR="00895B32" w:rsidRDefault="00000000">
            <w:pPr>
              <w:widowControl w:val="0"/>
              <w:spacing w:line="240" w:lineRule="auto"/>
            </w:pPr>
            <w:r>
              <w:t>N/A, adults only</w:t>
            </w:r>
          </w:p>
        </w:tc>
      </w:tr>
      <w:tr w:rsidR="00895B32" w14:paraId="2CD8CB5F" w14:textId="77777777">
        <w:tc>
          <w:tcPr>
            <w:tcW w:w="1545" w:type="dxa"/>
            <w:shd w:val="clear" w:color="auto" w:fill="auto"/>
            <w:tcMar>
              <w:top w:w="100" w:type="dxa"/>
              <w:left w:w="100" w:type="dxa"/>
              <w:bottom w:w="100" w:type="dxa"/>
              <w:right w:w="100" w:type="dxa"/>
            </w:tcMar>
          </w:tcPr>
          <w:p w14:paraId="1A7D1FE1" w14:textId="77777777" w:rsidR="00895B32" w:rsidRDefault="00000000">
            <w:pPr>
              <w:jc w:val="center"/>
            </w:pPr>
            <w:r>
              <w:t>ClinSeq</w:t>
            </w:r>
          </w:p>
        </w:tc>
        <w:tc>
          <w:tcPr>
            <w:tcW w:w="7710" w:type="dxa"/>
            <w:shd w:val="clear" w:color="auto" w:fill="auto"/>
            <w:tcMar>
              <w:top w:w="100" w:type="dxa"/>
              <w:left w:w="100" w:type="dxa"/>
              <w:bottom w:w="100" w:type="dxa"/>
              <w:right w:w="100" w:type="dxa"/>
            </w:tcMar>
          </w:tcPr>
          <w:p w14:paraId="4D3CB42C" w14:textId="77777777" w:rsidR="00895B32" w:rsidRDefault="00000000">
            <w:pPr>
              <w:widowControl w:val="0"/>
              <w:spacing w:line="240" w:lineRule="auto"/>
            </w:pPr>
            <w:r>
              <w:t>N/A, adults only</w:t>
            </w:r>
          </w:p>
        </w:tc>
      </w:tr>
      <w:tr w:rsidR="00895B32" w14:paraId="7B26577D" w14:textId="77777777">
        <w:tc>
          <w:tcPr>
            <w:tcW w:w="1545" w:type="dxa"/>
            <w:shd w:val="clear" w:color="auto" w:fill="auto"/>
            <w:tcMar>
              <w:top w:w="100" w:type="dxa"/>
              <w:left w:w="100" w:type="dxa"/>
              <w:bottom w:w="100" w:type="dxa"/>
              <w:right w:w="100" w:type="dxa"/>
            </w:tcMar>
          </w:tcPr>
          <w:p w14:paraId="13FED355" w14:textId="77777777" w:rsidR="00895B32" w:rsidRDefault="00000000">
            <w:pPr>
              <w:jc w:val="center"/>
            </w:pPr>
            <w:r>
              <w:t>KidsCanSeq</w:t>
            </w:r>
          </w:p>
        </w:tc>
        <w:tc>
          <w:tcPr>
            <w:tcW w:w="7710" w:type="dxa"/>
            <w:shd w:val="clear" w:color="auto" w:fill="auto"/>
            <w:tcMar>
              <w:top w:w="100" w:type="dxa"/>
              <w:left w:w="100" w:type="dxa"/>
              <w:bottom w:w="100" w:type="dxa"/>
              <w:right w:w="100" w:type="dxa"/>
            </w:tcMar>
          </w:tcPr>
          <w:p w14:paraId="31FE12DC" w14:textId="77777777" w:rsidR="00895B32" w:rsidRDefault="00000000">
            <w:pPr>
              <w:widowControl w:val="0"/>
              <w:spacing w:line="240" w:lineRule="auto"/>
            </w:pPr>
            <w:r>
              <w:t>When two parents are enrolled, both are invited to take the surveys separately and one parent is designated as the primary parent who is required to complete the baseline survey. Each parent who completes a baseline survey is also sent a follow-up survey. Although we would expect the primary parent to be the one who will complete surveys longitudinally, either could complete surveys at the follow-up time points. We capture relationship to patient (Mother, Father, Legal Guardian).</w:t>
            </w:r>
          </w:p>
        </w:tc>
      </w:tr>
      <w:tr w:rsidR="00895B32" w14:paraId="3F5B62B9" w14:textId="77777777">
        <w:tc>
          <w:tcPr>
            <w:tcW w:w="1545" w:type="dxa"/>
            <w:shd w:val="clear" w:color="auto" w:fill="auto"/>
            <w:tcMar>
              <w:top w:w="100" w:type="dxa"/>
              <w:left w:w="100" w:type="dxa"/>
              <w:bottom w:w="100" w:type="dxa"/>
              <w:right w:w="100" w:type="dxa"/>
            </w:tcMar>
          </w:tcPr>
          <w:p w14:paraId="08F740E3" w14:textId="77777777" w:rsidR="00895B32" w:rsidRDefault="00000000">
            <w:pPr>
              <w:jc w:val="center"/>
            </w:pPr>
            <w:r>
              <w:t>NCGENES 2</w:t>
            </w:r>
          </w:p>
        </w:tc>
        <w:tc>
          <w:tcPr>
            <w:tcW w:w="7710" w:type="dxa"/>
            <w:shd w:val="clear" w:color="auto" w:fill="auto"/>
            <w:tcMar>
              <w:top w:w="100" w:type="dxa"/>
              <w:left w:w="100" w:type="dxa"/>
              <w:bottom w:w="100" w:type="dxa"/>
              <w:right w:w="100" w:type="dxa"/>
            </w:tcMar>
          </w:tcPr>
          <w:p w14:paraId="1080FC4A" w14:textId="77777777" w:rsidR="00895B32" w:rsidRDefault="00000000">
            <w:pPr>
              <w:widowControl w:val="0"/>
              <w:spacing w:line="240" w:lineRule="auto"/>
            </w:pPr>
            <w:r>
              <w:t>The primary parent/guardian in NCGENES 2 is the person that will bring their child to the clinic visit, are 18 years of age or older, are able to legally sign documents (e.g., consent) for the child, and are able and willing to complete surveys in either English or Spanish (e.g., consent by phone to the study participation in the first intervention (specifically pre-visit preparation or not – that includes activities such as reading mailed material and completing surveys)</w:t>
            </w:r>
          </w:p>
        </w:tc>
      </w:tr>
      <w:tr w:rsidR="00895B32" w14:paraId="3B88B6C5" w14:textId="77777777">
        <w:tc>
          <w:tcPr>
            <w:tcW w:w="1545" w:type="dxa"/>
            <w:shd w:val="clear" w:color="auto" w:fill="auto"/>
            <w:tcMar>
              <w:top w:w="100" w:type="dxa"/>
              <w:left w:w="100" w:type="dxa"/>
              <w:bottom w:w="100" w:type="dxa"/>
              <w:right w:w="100" w:type="dxa"/>
            </w:tcMar>
          </w:tcPr>
          <w:p w14:paraId="2FE723C2" w14:textId="77777777" w:rsidR="00895B32" w:rsidRDefault="00000000">
            <w:pPr>
              <w:jc w:val="center"/>
            </w:pPr>
            <w:r>
              <w:t>NYCKidSeq/</w:t>
            </w:r>
          </w:p>
          <w:p w14:paraId="51538711" w14:textId="77777777" w:rsidR="00895B32" w:rsidRDefault="00000000">
            <w:pPr>
              <w:jc w:val="center"/>
            </w:pPr>
            <w:r>
              <w:t>TeleKidSeq</w:t>
            </w:r>
          </w:p>
        </w:tc>
        <w:tc>
          <w:tcPr>
            <w:tcW w:w="7710" w:type="dxa"/>
            <w:shd w:val="clear" w:color="auto" w:fill="auto"/>
            <w:tcMar>
              <w:top w:w="100" w:type="dxa"/>
              <w:left w:w="100" w:type="dxa"/>
              <w:bottom w:w="100" w:type="dxa"/>
              <w:right w:w="100" w:type="dxa"/>
            </w:tcMar>
          </w:tcPr>
          <w:p w14:paraId="0C717CDB" w14:textId="77777777" w:rsidR="00895B32" w:rsidRDefault="00000000">
            <w:pPr>
              <w:widowControl w:val="0"/>
              <w:spacing w:line="240" w:lineRule="auto"/>
            </w:pPr>
            <w:r>
              <w:t xml:space="preserve">The primary parent (or caregiver) is the one who primarily: administers medications to the child, takes the child to medical appointments, and manages the child’s personal and healthcare needs or is most familiar with </w:t>
            </w:r>
            <w:r>
              <w:lastRenderedPageBreak/>
              <w:t xml:space="preserve">these activities. This parent is the caregiver who will attend all research visits / answer all surveys. </w:t>
            </w:r>
          </w:p>
          <w:p w14:paraId="78CFA3B0" w14:textId="77777777" w:rsidR="00895B32" w:rsidRDefault="00895B32">
            <w:pPr>
              <w:widowControl w:val="0"/>
              <w:spacing w:line="240" w:lineRule="auto"/>
            </w:pPr>
          </w:p>
          <w:p w14:paraId="50C797BD" w14:textId="77777777" w:rsidR="00895B32" w:rsidRDefault="00000000">
            <w:pPr>
              <w:widowControl w:val="0"/>
              <w:spacing w:line="240" w:lineRule="auto"/>
            </w:pPr>
            <w:r>
              <w:t xml:space="preserve">The survey question asked to capture relationship: </w:t>
            </w:r>
          </w:p>
          <w:p w14:paraId="141510CB" w14:textId="77777777" w:rsidR="00895B32" w:rsidRDefault="00000000">
            <w:pPr>
              <w:widowControl w:val="0"/>
              <w:spacing w:line="240" w:lineRule="auto"/>
            </w:pPr>
            <w:r>
              <w:t>"What is your relationship to [child's name]?"</w:t>
            </w:r>
          </w:p>
          <w:p w14:paraId="0731FB24" w14:textId="77777777" w:rsidR="00895B32" w:rsidRDefault="00000000">
            <w:pPr>
              <w:widowControl w:val="0"/>
              <w:spacing w:line="240" w:lineRule="auto"/>
            </w:pPr>
            <w:r>
              <w:t>1, Mother</w:t>
            </w:r>
          </w:p>
          <w:p w14:paraId="237C3AD1" w14:textId="77777777" w:rsidR="00895B32" w:rsidRDefault="00000000">
            <w:pPr>
              <w:widowControl w:val="0"/>
              <w:spacing w:line="240" w:lineRule="auto"/>
            </w:pPr>
            <w:r>
              <w:t>2, Father</w:t>
            </w:r>
          </w:p>
          <w:p w14:paraId="6FE93A3E" w14:textId="77777777" w:rsidR="00895B32" w:rsidRDefault="00000000">
            <w:pPr>
              <w:widowControl w:val="0"/>
              <w:spacing w:line="240" w:lineRule="auto"/>
            </w:pPr>
            <w:r>
              <w:t>3, Legal guardian</w:t>
            </w:r>
          </w:p>
          <w:p w14:paraId="616C3FF4" w14:textId="77777777" w:rsidR="00895B32" w:rsidRDefault="00895B32">
            <w:pPr>
              <w:widowControl w:val="0"/>
              <w:spacing w:line="240" w:lineRule="auto"/>
            </w:pPr>
          </w:p>
          <w:p w14:paraId="10DE4EFB" w14:textId="77777777" w:rsidR="00895B32" w:rsidRDefault="00000000">
            <w:pPr>
              <w:widowControl w:val="0"/>
              <w:spacing w:line="240" w:lineRule="auto"/>
            </w:pPr>
            <w:r>
              <w:t xml:space="preserve">We asked race and ethnicity for each parent at baseline, see race/ethnicity section. The parent race/ethnicity transformed data was not linked to the primary parent (relationship to child asked at baseline). </w:t>
            </w:r>
            <w:r>
              <w:rPr>
                <w:i/>
              </w:rPr>
              <w:t>race</w:t>
            </w:r>
            <w:r>
              <w:rPr>
                <w:b/>
                <w:i/>
              </w:rPr>
              <w:t>b</w:t>
            </w:r>
            <w:r>
              <w:rPr>
                <w:i/>
              </w:rPr>
              <w:t>_pbl___[1-9] = mother and race</w:t>
            </w:r>
            <w:r>
              <w:rPr>
                <w:b/>
                <w:i/>
              </w:rPr>
              <w:t>c</w:t>
            </w:r>
            <w:r>
              <w:rPr>
                <w:i/>
              </w:rPr>
              <w:t xml:space="preserve">_pbl___[1-9] = father. </w:t>
            </w:r>
          </w:p>
        </w:tc>
      </w:tr>
      <w:tr w:rsidR="00895B32" w14:paraId="506EE07F" w14:textId="77777777">
        <w:tc>
          <w:tcPr>
            <w:tcW w:w="1545" w:type="dxa"/>
            <w:shd w:val="clear" w:color="auto" w:fill="auto"/>
            <w:tcMar>
              <w:top w:w="100" w:type="dxa"/>
              <w:left w:w="100" w:type="dxa"/>
              <w:bottom w:w="100" w:type="dxa"/>
              <w:right w:w="100" w:type="dxa"/>
            </w:tcMar>
          </w:tcPr>
          <w:p w14:paraId="06D87744" w14:textId="77777777" w:rsidR="00895B32" w:rsidRDefault="00000000">
            <w:pPr>
              <w:jc w:val="center"/>
            </w:pPr>
            <w:r>
              <w:lastRenderedPageBreak/>
              <w:t>P3EGS</w:t>
            </w:r>
          </w:p>
        </w:tc>
        <w:tc>
          <w:tcPr>
            <w:tcW w:w="7710" w:type="dxa"/>
            <w:shd w:val="clear" w:color="auto" w:fill="auto"/>
            <w:tcMar>
              <w:top w:w="100" w:type="dxa"/>
              <w:left w:w="100" w:type="dxa"/>
              <w:bottom w:w="100" w:type="dxa"/>
              <w:right w:w="100" w:type="dxa"/>
            </w:tcMar>
          </w:tcPr>
          <w:p w14:paraId="39641B0F" w14:textId="77777777" w:rsidR="00895B32" w:rsidRDefault="00000000">
            <w:pPr>
              <w:widowControl w:val="0"/>
              <w:spacing w:line="240" w:lineRule="auto"/>
            </w:pPr>
            <w:r>
              <w:t xml:space="preserve">P3EGS does not define "Primary Parent", but collects demographic information from both parents separately. (Please see our </w:t>
            </w:r>
            <w:hyperlink w:anchor="_jilyp0fjn2pn">
              <w:r>
                <w:rPr>
                  <w:color w:val="1155CC"/>
                  <w:u w:val="single"/>
                </w:rPr>
                <w:t>note above for the collection of race/ethnicity data</w:t>
              </w:r>
            </w:hyperlink>
            <w:r>
              <w:t>). In cases the DCC template includes only one field to upload data for a family, P3EGS’ default is to upload data from mothers. If only the father's responses are available, then we upload father's data. If no answer is available from either parent, we will leave the field blank.</w:t>
            </w:r>
          </w:p>
        </w:tc>
      </w:tr>
      <w:tr w:rsidR="00895B32" w14:paraId="23CEFFF6" w14:textId="77777777">
        <w:tc>
          <w:tcPr>
            <w:tcW w:w="1545" w:type="dxa"/>
            <w:shd w:val="clear" w:color="auto" w:fill="auto"/>
            <w:tcMar>
              <w:top w:w="100" w:type="dxa"/>
              <w:left w:w="100" w:type="dxa"/>
              <w:bottom w:w="100" w:type="dxa"/>
              <w:right w:w="100" w:type="dxa"/>
            </w:tcMar>
          </w:tcPr>
          <w:p w14:paraId="48A73E01" w14:textId="77777777" w:rsidR="00895B32" w:rsidRDefault="00000000">
            <w:pPr>
              <w:jc w:val="center"/>
            </w:pPr>
            <w:r>
              <w:t>SouthSeq</w:t>
            </w:r>
          </w:p>
        </w:tc>
        <w:tc>
          <w:tcPr>
            <w:tcW w:w="7710" w:type="dxa"/>
            <w:shd w:val="clear" w:color="auto" w:fill="auto"/>
            <w:tcMar>
              <w:top w:w="100" w:type="dxa"/>
              <w:left w:w="100" w:type="dxa"/>
              <w:bottom w:w="100" w:type="dxa"/>
              <w:right w:w="100" w:type="dxa"/>
            </w:tcMar>
          </w:tcPr>
          <w:p w14:paraId="53028C58" w14:textId="77777777" w:rsidR="00895B32" w:rsidRDefault="00000000">
            <w:pPr>
              <w:widowControl w:val="0"/>
              <w:spacing w:line="240" w:lineRule="auto"/>
            </w:pPr>
            <w:r>
              <w:t>Both parents (or legal guardians) are enrolled, if willing. The primary parent for the clinical trial survey analysis is the mother.</w:t>
            </w:r>
          </w:p>
        </w:tc>
      </w:tr>
    </w:tbl>
    <w:p w14:paraId="573E3ABC" w14:textId="77777777" w:rsidR="00895B32" w:rsidRDefault="00895B32"/>
    <w:p w14:paraId="09602B3F" w14:textId="77777777" w:rsidR="00895B32" w:rsidRDefault="00895B32"/>
    <w:p w14:paraId="4967C769" w14:textId="77777777" w:rsidR="00895B32" w:rsidRDefault="00000000">
      <w:pPr>
        <w:pStyle w:val="Heading3"/>
      </w:pPr>
      <w:bookmarkStart w:id="24" w:name="_2mbvz5tix9nq" w:colFirst="0" w:colLast="0"/>
      <w:bookmarkEnd w:id="24"/>
      <w:r>
        <w:t>Why are some pediatric ages (in age2_pbl) 18+?</w:t>
      </w:r>
    </w:p>
    <w:p w14:paraId="2D59D17A" w14:textId="77777777" w:rsidR="00895B32" w:rsidRDefault="00000000">
      <w:r>
        <w:t>CSER sites used different procedures for collecting and recording age in some cases. See the table below for more details:</w:t>
      </w:r>
    </w:p>
    <w:p w14:paraId="69C5EFFD" w14:textId="77777777" w:rsidR="00895B32" w:rsidRDefault="00895B32"/>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6975"/>
      </w:tblGrid>
      <w:tr w:rsidR="00895B32" w14:paraId="31AC3B0D" w14:textId="77777777">
        <w:tc>
          <w:tcPr>
            <w:tcW w:w="2385" w:type="dxa"/>
            <w:shd w:val="clear" w:color="auto" w:fill="auto"/>
            <w:tcMar>
              <w:top w:w="100" w:type="dxa"/>
              <w:left w:w="100" w:type="dxa"/>
              <w:bottom w:w="100" w:type="dxa"/>
              <w:right w:w="100" w:type="dxa"/>
            </w:tcMar>
          </w:tcPr>
          <w:p w14:paraId="69949F5D" w14:textId="77777777" w:rsidR="00895B32" w:rsidRDefault="00000000">
            <w:pPr>
              <w:widowControl w:val="0"/>
              <w:spacing w:line="240" w:lineRule="auto"/>
              <w:jc w:val="center"/>
              <w:rPr>
                <w:b/>
              </w:rPr>
            </w:pPr>
            <w:r>
              <w:rPr>
                <w:b/>
              </w:rPr>
              <w:t>Study</w:t>
            </w:r>
          </w:p>
        </w:tc>
        <w:tc>
          <w:tcPr>
            <w:tcW w:w="6975" w:type="dxa"/>
            <w:shd w:val="clear" w:color="auto" w:fill="auto"/>
            <w:tcMar>
              <w:top w:w="100" w:type="dxa"/>
              <w:left w:w="100" w:type="dxa"/>
              <w:bottom w:w="100" w:type="dxa"/>
              <w:right w:w="100" w:type="dxa"/>
            </w:tcMar>
          </w:tcPr>
          <w:p w14:paraId="05B2A68E" w14:textId="77777777" w:rsidR="00895B32" w:rsidRDefault="00000000">
            <w:pPr>
              <w:widowControl w:val="0"/>
              <w:spacing w:line="240" w:lineRule="auto"/>
              <w:jc w:val="center"/>
              <w:rPr>
                <w:b/>
              </w:rPr>
            </w:pPr>
            <w:r>
              <w:rPr>
                <w:b/>
              </w:rPr>
              <w:t>Procedure for pediatric age data collection (age2_pbl)</w:t>
            </w:r>
          </w:p>
        </w:tc>
      </w:tr>
      <w:tr w:rsidR="00895B32" w14:paraId="771092FE" w14:textId="77777777">
        <w:tc>
          <w:tcPr>
            <w:tcW w:w="2385" w:type="dxa"/>
            <w:shd w:val="clear" w:color="auto" w:fill="auto"/>
            <w:tcMar>
              <w:top w:w="100" w:type="dxa"/>
              <w:left w:w="100" w:type="dxa"/>
              <w:bottom w:w="100" w:type="dxa"/>
              <w:right w:w="100" w:type="dxa"/>
            </w:tcMar>
          </w:tcPr>
          <w:p w14:paraId="376234AB" w14:textId="77777777" w:rsidR="00895B32" w:rsidRDefault="00000000">
            <w:pPr>
              <w:jc w:val="center"/>
            </w:pPr>
            <w:r>
              <w:t>CHARM</w:t>
            </w:r>
          </w:p>
        </w:tc>
        <w:tc>
          <w:tcPr>
            <w:tcW w:w="6975" w:type="dxa"/>
            <w:shd w:val="clear" w:color="auto" w:fill="auto"/>
            <w:tcMar>
              <w:top w:w="100" w:type="dxa"/>
              <w:left w:w="100" w:type="dxa"/>
              <w:bottom w:w="100" w:type="dxa"/>
              <w:right w:w="100" w:type="dxa"/>
            </w:tcMar>
          </w:tcPr>
          <w:p w14:paraId="4D8B60E2" w14:textId="77777777" w:rsidR="00895B32" w:rsidRDefault="00000000">
            <w:pPr>
              <w:widowControl w:val="0"/>
              <w:spacing w:line="240" w:lineRule="auto"/>
            </w:pPr>
            <w:r>
              <w:t>N/A, adults only</w:t>
            </w:r>
          </w:p>
        </w:tc>
      </w:tr>
      <w:tr w:rsidR="00895B32" w14:paraId="4E2ACDED" w14:textId="77777777">
        <w:tc>
          <w:tcPr>
            <w:tcW w:w="2385" w:type="dxa"/>
            <w:shd w:val="clear" w:color="auto" w:fill="auto"/>
            <w:tcMar>
              <w:top w:w="100" w:type="dxa"/>
              <w:left w:w="100" w:type="dxa"/>
              <w:bottom w:w="100" w:type="dxa"/>
              <w:right w:w="100" w:type="dxa"/>
            </w:tcMar>
          </w:tcPr>
          <w:p w14:paraId="51E412C2" w14:textId="77777777" w:rsidR="00895B32" w:rsidRDefault="00000000">
            <w:pPr>
              <w:jc w:val="center"/>
            </w:pPr>
            <w:r>
              <w:t>ClinSeq</w:t>
            </w:r>
          </w:p>
        </w:tc>
        <w:tc>
          <w:tcPr>
            <w:tcW w:w="6975" w:type="dxa"/>
            <w:shd w:val="clear" w:color="auto" w:fill="auto"/>
            <w:tcMar>
              <w:top w:w="100" w:type="dxa"/>
              <w:left w:w="100" w:type="dxa"/>
              <w:bottom w:w="100" w:type="dxa"/>
              <w:right w:w="100" w:type="dxa"/>
            </w:tcMar>
          </w:tcPr>
          <w:p w14:paraId="35B07950" w14:textId="77777777" w:rsidR="00895B32" w:rsidRDefault="00000000">
            <w:pPr>
              <w:widowControl w:val="0"/>
              <w:spacing w:line="240" w:lineRule="auto"/>
            </w:pPr>
            <w:r>
              <w:t>N/A, adults only</w:t>
            </w:r>
          </w:p>
        </w:tc>
      </w:tr>
      <w:tr w:rsidR="00895B32" w14:paraId="08C12497" w14:textId="77777777">
        <w:tc>
          <w:tcPr>
            <w:tcW w:w="2385" w:type="dxa"/>
            <w:shd w:val="clear" w:color="auto" w:fill="auto"/>
            <w:tcMar>
              <w:top w:w="100" w:type="dxa"/>
              <w:left w:w="100" w:type="dxa"/>
              <w:bottom w:w="100" w:type="dxa"/>
              <w:right w:w="100" w:type="dxa"/>
            </w:tcMar>
          </w:tcPr>
          <w:p w14:paraId="5B2ACB19" w14:textId="77777777" w:rsidR="00895B32" w:rsidRDefault="00000000">
            <w:pPr>
              <w:jc w:val="center"/>
            </w:pPr>
            <w:r>
              <w:t>KidsCanSeq</w:t>
            </w:r>
          </w:p>
        </w:tc>
        <w:tc>
          <w:tcPr>
            <w:tcW w:w="6975" w:type="dxa"/>
            <w:shd w:val="clear" w:color="auto" w:fill="auto"/>
            <w:tcMar>
              <w:top w:w="100" w:type="dxa"/>
              <w:left w:w="100" w:type="dxa"/>
              <w:bottom w:w="100" w:type="dxa"/>
              <w:right w:w="100" w:type="dxa"/>
            </w:tcMar>
          </w:tcPr>
          <w:p w14:paraId="13BE5B4C" w14:textId="77777777" w:rsidR="00895B32" w:rsidRDefault="00000000">
            <w:pPr>
              <w:widowControl w:val="0"/>
              <w:spacing w:line="240" w:lineRule="auto"/>
            </w:pPr>
            <w:r>
              <w:t>No pediatric ages &gt;18 submitted.</w:t>
            </w:r>
          </w:p>
        </w:tc>
      </w:tr>
      <w:tr w:rsidR="00895B32" w14:paraId="11DFE60D" w14:textId="77777777">
        <w:tc>
          <w:tcPr>
            <w:tcW w:w="2385" w:type="dxa"/>
            <w:shd w:val="clear" w:color="auto" w:fill="auto"/>
            <w:tcMar>
              <w:top w:w="100" w:type="dxa"/>
              <w:left w:w="100" w:type="dxa"/>
              <w:bottom w:w="100" w:type="dxa"/>
              <w:right w:w="100" w:type="dxa"/>
            </w:tcMar>
          </w:tcPr>
          <w:p w14:paraId="74A56E3F" w14:textId="77777777" w:rsidR="00895B32" w:rsidRDefault="00000000">
            <w:pPr>
              <w:jc w:val="center"/>
            </w:pPr>
            <w:r>
              <w:t>NCGENES 2</w:t>
            </w:r>
          </w:p>
        </w:tc>
        <w:tc>
          <w:tcPr>
            <w:tcW w:w="6975" w:type="dxa"/>
            <w:shd w:val="clear" w:color="auto" w:fill="auto"/>
            <w:tcMar>
              <w:top w:w="100" w:type="dxa"/>
              <w:left w:w="100" w:type="dxa"/>
              <w:bottom w:w="100" w:type="dxa"/>
              <w:right w:w="100" w:type="dxa"/>
            </w:tcMar>
          </w:tcPr>
          <w:p w14:paraId="09836C56" w14:textId="77777777" w:rsidR="00895B32" w:rsidRDefault="00000000">
            <w:pPr>
              <w:widowControl w:val="0"/>
              <w:spacing w:line="240" w:lineRule="auto"/>
            </w:pPr>
            <w:r>
              <w:t>N/A, pediatric participants only, &lt;16 at eligibility.</w:t>
            </w:r>
          </w:p>
        </w:tc>
      </w:tr>
      <w:tr w:rsidR="00895B32" w14:paraId="66F06C1E" w14:textId="77777777">
        <w:tc>
          <w:tcPr>
            <w:tcW w:w="2385" w:type="dxa"/>
            <w:shd w:val="clear" w:color="auto" w:fill="auto"/>
            <w:tcMar>
              <w:top w:w="100" w:type="dxa"/>
              <w:left w:w="100" w:type="dxa"/>
              <w:bottom w:w="100" w:type="dxa"/>
              <w:right w:w="100" w:type="dxa"/>
            </w:tcMar>
          </w:tcPr>
          <w:p w14:paraId="55894D26" w14:textId="77777777" w:rsidR="00895B32" w:rsidRDefault="00000000">
            <w:pPr>
              <w:jc w:val="center"/>
            </w:pPr>
            <w:r>
              <w:t>NYCKidSeq/</w:t>
            </w:r>
          </w:p>
          <w:p w14:paraId="0F618F23" w14:textId="77777777" w:rsidR="00895B32" w:rsidRDefault="00000000">
            <w:pPr>
              <w:jc w:val="center"/>
            </w:pPr>
            <w:r>
              <w:t>TeleKidSeq</w:t>
            </w:r>
          </w:p>
        </w:tc>
        <w:tc>
          <w:tcPr>
            <w:tcW w:w="6975" w:type="dxa"/>
            <w:shd w:val="clear" w:color="auto" w:fill="auto"/>
            <w:tcMar>
              <w:top w:w="100" w:type="dxa"/>
              <w:left w:w="100" w:type="dxa"/>
              <w:bottom w:w="100" w:type="dxa"/>
              <w:right w:w="100" w:type="dxa"/>
            </w:tcMar>
          </w:tcPr>
          <w:p w14:paraId="2CBCED82" w14:textId="77777777" w:rsidR="00895B32" w:rsidRDefault="00000000">
            <w:pPr>
              <w:widowControl w:val="0"/>
              <w:spacing w:line="240" w:lineRule="auto"/>
            </w:pPr>
            <w:r>
              <w:t xml:space="preserve">“Pediatric” patients with ages 18+ had conditions with childhood onset and have been in follow-up through our pediatric geneticists. We have  IRB approval to enroll up through21 years of age who otherwise fulfill the inclusion criteria. Parents fill out surveys for all, including age 18+. </w:t>
            </w:r>
          </w:p>
        </w:tc>
      </w:tr>
      <w:tr w:rsidR="00895B32" w14:paraId="5D1F84A9" w14:textId="77777777">
        <w:tc>
          <w:tcPr>
            <w:tcW w:w="2385" w:type="dxa"/>
            <w:shd w:val="clear" w:color="auto" w:fill="auto"/>
            <w:tcMar>
              <w:top w:w="100" w:type="dxa"/>
              <w:left w:w="100" w:type="dxa"/>
              <w:bottom w:w="100" w:type="dxa"/>
              <w:right w:w="100" w:type="dxa"/>
            </w:tcMar>
          </w:tcPr>
          <w:p w14:paraId="30709736" w14:textId="77777777" w:rsidR="00895B32" w:rsidRDefault="00000000">
            <w:pPr>
              <w:jc w:val="center"/>
            </w:pPr>
            <w:r>
              <w:lastRenderedPageBreak/>
              <w:t>P3EGS</w:t>
            </w:r>
          </w:p>
        </w:tc>
        <w:tc>
          <w:tcPr>
            <w:tcW w:w="6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5C410" w14:textId="77777777" w:rsidR="00895B32" w:rsidRDefault="00000000">
            <w:pPr>
              <w:widowControl w:val="0"/>
              <w:spacing w:line="240" w:lineRule="auto"/>
            </w:pPr>
            <w:r>
              <w:t>P3EGS has enrolled a few “pediatric” patients over the age of 18. We have IRB approval to enroll up to 25 years of age. The 18+ patients enrolled were receiving care from UCSF Pediatrics department, and eligible for the study, and thus were offered enrollment for exome sequencing.</w:t>
            </w:r>
          </w:p>
        </w:tc>
      </w:tr>
      <w:tr w:rsidR="00895B32" w14:paraId="4D7513E4" w14:textId="77777777">
        <w:tc>
          <w:tcPr>
            <w:tcW w:w="2385" w:type="dxa"/>
            <w:shd w:val="clear" w:color="auto" w:fill="auto"/>
            <w:tcMar>
              <w:top w:w="100" w:type="dxa"/>
              <w:left w:w="100" w:type="dxa"/>
              <w:bottom w:w="100" w:type="dxa"/>
              <w:right w:w="100" w:type="dxa"/>
            </w:tcMar>
          </w:tcPr>
          <w:p w14:paraId="1D3121FC" w14:textId="77777777" w:rsidR="00895B32" w:rsidRDefault="00000000">
            <w:pPr>
              <w:jc w:val="center"/>
            </w:pPr>
            <w:r>
              <w:t>SouthSeq</w:t>
            </w:r>
          </w:p>
        </w:tc>
        <w:tc>
          <w:tcPr>
            <w:tcW w:w="6975" w:type="dxa"/>
            <w:shd w:val="clear" w:color="auto" w:fill="auto"/>
            <w:tcMar>
              <w:top w:w="100" w:type="dxa"/>
              <w:left w:w="100" w:type="dxa"/>
              <w:bottom w:w="100" w:type="dxa"/>
              <w:right w:w="100" w:type="dxa"/>
            </w:tcMar>
          </w:tcPr>
          <w:p w14:paraId="00F18B2E" w14:textId="77777777" w:rsidR="00895B32" w:rsidRDefault="00000000">
            <w:pPr>
              <w:widowControl w:val="0"/>
              <w:spacing w:line="240" w:lineRule="auto"/>
            </w:pPr>
            <w:r>
              <w:t xml:space="preserve">Parents/legal guardians completed the surveys as the probands in our study were newborns-12 months of age. </w:t>
            </w:r>
          </w:p>
        </w:tc>
      </w:tr>
    </w:tbl>
    <w:p w14:paraId="1F88E3CE" w14:textId="77777777" w:rsidR="00895B32" w:rsidRDefault="00895B32"/>
    <w:p w14:paraId="619809D6" w14:textId="77777777" w:rsidR="00895B32" w:rsidRDefault="00895B32"/>
    <w:p w14:paraId="20BE32D5" w14:textId="77777777" w:rsidR="00895B32" w:rsidRDefault="00000000">
      <w:pPr>
        <w:pStyle w:val="Heading3"/>
      </w:pPr>
      <w:bookmarkStart w:id="25" w:name="_ex01gar44gu7" w:colFirst="0" w:colLast="0"/>
      <w:bookmarkEnd w:id="25"/>
      <w:r>
        <w:t>What reference date(s) do sites use to calculate age in the Harmonized Measures?</w:t>
      </w:r>
    </w:p>
    <w:p w14:paraId="3BB0D1EC" w14:textId="77777777" w:rsidR="00895B32" w:rsidRDefault="00000000">
      <w:r>
        <w:t>While participant age is reported in the Baseline measures, not all sites report age using the survey completion date. Age is not reported again in the ROR/FU1 or ROR/FU2 measures, but is used to determine the version of particular measures (e.g. the PEDSQL) that participants are administered.</w:t>
      </w:r>
    </w:p>
    <w:p w14:paraId="09721B96" w14:textId="77777777" w:rsidR="00895B32" w:rsidRDefault="00895B32"/>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95B32" w14:paraId="1C27B216" w14:textId="77777777">
        <w:tc>
          <w:tcPr>
            <w:tcW w:w="2340" w:type="dxa"/>
            <w:tcMar>
              <w:top w:w="40" w:type="dxa"/>
              <w:left w:w="40" w:type="dxa"/>
              <w:bottom w:w="40" w:type="dxa"/>
              <w:right w:w="40" w:type="dxa"/>
            </w:tcMar>
            <w:vAlign w:val="bottom"/>
          </w:tcPr>
          <w:p w14:paraId="7998FC97" w14:textId="77777777" w:rsidR="00895B32" w:rsidRDefault="00000000">
            <w:pPr>
              <w:widowControl w:val="0"/>
              <w:jc w:val="center"/>
            </w:pPr>
            <w:r>
              <w:rPr>
                <w:b/>
              </w:rPr>
              <w:t>Site</w:t>
            </w:r>
          </w:p>
        </w:tc>
        <w:tc>
          <w:tcPr>
            <w:tcW w:w="2340" w:type="dxa"/>
            <w:tcMar>
              <w:top w:w="40" w:type="dxa"/>
              <w:left w:w="40" w:type="dxa"/>
              <w:bottom w:w="40" w:type="dxa"/>
              <w:right w:w="40" w:type="dxa"/>
            </w:tcMar>
            <w:vAlign w:val="bottom"/>
          </w:tcPr>
          <w:p w14:paraId="7D1F2869" w14:textId="77777777" w:rsidR="00895B32" w:rsidRDefault="00000000">
            <w:pPr>
              <w:widowControl w:val="0"/>
              <w:jc w:val="center"/>
            </w:pPr>
            <w:r>
              <w:rPr>
                <w:b/>
              </w:rPr>
              <w:t>Baseline</w:t>
            </w:r>
          </w:p>
        </w:tc>
        <w:tc>
          <w:tcPr>
            <w:tcW w:w="2340" w:type="dxa"/>
            <w:tcMar>
              <w:top w:w="40" w:type="dxa"/>
              <w:left w:w="40" w:type="dxa"/>
              <w:bottom w:w="40" w:type="dxa"/>
              <w:right w:w="40" w:type="dxa"/>
            </w:tcMar>
            <w:vAlign w:val="bottom"/>
          </w:tcPr>
          <w:p w14:paraId="2F5E3237" w14:textId="77777777" w:rsidR="00895B32" w:rsidRDefault="00000000">
            <w:pPr>
              <w:widowControl w:val="0"/>
              <w:jc w:val="center"/>
            </w:pPr>
            <w:r>
              <w:rPr>
                <w:b/>
              </w:rPr>
              <w:t>ROR/FU1</w:t>
            </w:r>
          </w:p>
        </w:tc>
        <w:tc>
          <w:tcPr>
            <w:tcW w:w="2340" w:type="dxa"/>
            <w:tcMar>
              <w:top w:w="40" w:type="dxa"/>
              <w:left w:w="40" w:type="dxa"/>
              <w:bottom w:w="40" w:type="dxa"/>
              <w:right w:w="40" w:type="dxa"/>
            </w:tcMar>
            <w:vAlign w:val="bottom"/>
          </w:tcPr>
          <w:p w14:paraId="4BB93B60" w14:textId="77777777" w:rsidR="00895B32" w:rsidRDefault="00000000">
            <w:pPr>
              <w:widowControl w:val="0"/>
              <w:jc w:val="center"/>
            </w:pPr>
            <w:r>
              <w:rPr>
                <w:b/>
              </w:rPr>
              <w:t>ROR/FU2</w:t>
            </w:r>
          </w:p>
        </w:tc>
      </w:tr>
      <w:tr w:rsidR="00895B32" w14:paraId="47868878" w14:textId="77777777">
        <w:tc>
          <w:tcPr>
            <w:tcW w:w="2340" w:type="dxa"/>
            <w:tcMar>
              <w:top w:w="40" w:type="dxa"/>
              <w:left w:w="40" w:type="dxa"/>
              <w:bottom w:w="40" w:type="dxa"/>
              <w:right w:w="40" w:type="dxa"/>
            </w:tcMar>
            <w:vAlign w:val="center"/>
          </w:tcPr>
          <w:p w14:paraId="39E7B229" w14:textId="77777777" w:rsidR="00895B32" w:rsidRDefault="00000000">
            <w:pPr>
              <w:widowControl w:val="0"/>
            </w:pPr>
            <w:r>
              <w:t>UCSF P3EGS</w:t>
            </w:r>
          </w:p>
        </w:tc>
        <w:tc>
          <w:tcPr>
            <w:tcW w:w="2340" w:type="dxa"/>
            <w:tcMar>
              <w:top w:w="40" w:type="dxa"/>
              <w:left w:w="40" w:type="dxa"/>
              <w:bottom w:w="40" w:type="dxa"/>
              <w:right w:w="40" w:type="dxa"/>
            </w:tcMar>
            <w:vAlign w:val="bottom"/>
          </w:tcPr>
          <w:p w14:paraId="08AAA344" w14:textId="77777777" w:rsidR="00895B32" w:rsidRDefault="00000000">
            <w:pPr>
              <w:widowControl w:val="0"/>
            </w:pPr>
            <w:r>
              <w:t>Eligibility date (peds only)</w:t>
            </w:r>
          </w:p>
        </w:tc>
        <w:tc>
          <w:tcPr>
            <w:tcW w:w="2340" w:type="dxa"/>
            <w:tcMar>
              <w:top w:w="40" w:type="dxa"/>
              <w:left w:w="40" w:type="dxa"/>
              <w:bottom w:w="40" w:type="dxa"/>
              <w:right w:w="40" w:type="dxa"/>
            </w:tcMar>
            <w:vAlign w:val="bottom"/>
          </w:tcPr>
          <w:p w14:paraId="15462F6A" w14:textId="77777777" w:rsidR="00895B32" w:rsidRDefault="00000000">
            <w:pPr>
              <w:widowControl w:val="0"/>
            </w:pPr>
            <w:r>
              <w:t>Haven't used, but would use survey completion date</w:t>
            </w:r>
          </w:p>
        </w:tc>
        <w:tc>
          <w:tcPr>
            <w:tcW w:w="2340" w:type="dxa"/>
            <w:tcMar>
              <w:top w:w="40" w:type="dxa"/>
              <w:left w:w="40" w:type="dxa"/>
              <w:bottom w:w="40" w:type="dxa"/>
              <w:right w:w="40" w:type="dxa"/>
            </w:tcMar>
            <w:vAlign w:val="bottom"/>
          </w:tcPr>
          <w:p w14:paraId="4095A277" w14:textId="77777777" w:rsidR="00895B32" w:rsidRDefault="00000000">
            <w:pPr>
              <w:widowControl w:val="0"/>
            </w:pPr>
            <w:r>
              <w:t>Haven't used, but would use survey completion date</w:t>
            </w:r>
          </w:p>
        </w:tc>
      </w:tr>
      <w:tr w:rsidR="00895B32" w14:paraId="5A9BFB6A" w14:textId="77777777">
        <w:tc>
          <w:tcPr>
            <w:tcW w:w="2340" w:type="dxa"/>
            <w:tcMar>
              <w:top w:w="40" w:type="dxa"/>
              <w:left w:w="40" w:type="dxa"/>
              <w:bottom w:w="40" w:type="dxa"/>
              <w:right w:w="40" w:type="dxa"/>
            </w:tcMar>
            <w:vAlign w:val="center"/>
          </w:tcPr>
          <w:p w14:paraId="0F2E4A40" w14:textId="77777777" w:rsidR="00895B32" w:rsidRDefault="00000000">
            <w:pPr>
              <w:widowControl w:val="0"/>
            </w:pPr>
            <w:r>
              <w:t>BCM KidsCanSeq</w:t>
            </w:r>
          </w:p>
        </w:tc>
        <w:tc>
          <w:tcPr>
            <w:tcW w:w="2340" w:type="dxa"/>
            <w:tcMar>
              <w:top w:w="40" w:type="dxa"/>
              <w:left w:w="40" w:type="dxa"/>
              <w:bottom w:w="40" w:type="dxa"/>
              <w:right w:w="40" w:type="dxa"/>
            </w:tcMar>
            <w:vAlign w:val="bottom"/>
          </w:tcPr>
          <w:p w14:paraId="7DE326E1" w14:textId="77777777" w:rsidR="00895B32" w:rsidRDefault="00000000">
            <w:pPr>
              <w:widowControl w:val="0"/>
            </w:pPr>
            <w:r>
              <w:t>Consent date</w:t>
            </w:r>
          </w:p>
        </w:tc>
        <w:tc>
          <w:tcPr>
            <w:tcW w:w="2340" w:type="dxa"/>
            <w:tcMar>
              <w:top w:w="40" w:type="dxa"/>
              <w:left w:w="40" w:type="dxa"/>
              <w:bottom w:w="40" w:type="dxa"/>
              <w:right w:w="40" w:type="dxa"/>
            </w:tcMar>
            <w:vAlign w:val="bottom"/>
          </w:tcPr>
          <w:p w14:paraId="0E577755" w14:textId="77777777" w:rsidR="00895B32" w:rsidRDefault="00000000">
            <w:pPr>
              <w:widowControl w:val="0"/>
            </w:pPr>
            <w:r>
              <w:t>Consent date</w:t>
            </w:r>
          </w:p>
        </w:tc>
        <w:tc>
          <w:tcPr>
            <w:tcW w:w="2340" w:type="dxa"/>
            <w:tcMar>
              <w:top w:w="40" w:type="dxa"/>
              <w:left w:w="40" w:type="dxa"/>
              <w:bottom w:w="40" w:type="dxa"/>
              <w:right w:w="40" w:type="dxa"/>
            </w:tcMar>
            <w:vAlign w:val="bottom"/>
          </w:tcPr>
          <w:p w14:paraId="4C89B971" w14:textId="77777777" w:rsidR="00895B32" w:rsidRDefault="00000000">
            <w:pPr>
              <w:widowControl w:val="0"/>
            </w:pPr>
            <w:r>
              <w:t>Consent date</w:t>
            </w:r>
          </w:p>
        </w:tc>
      </w:tr>
      <w:tr w:rsidR="00895B32" w14:paraId="7D250E27" w14:textId="77777777">
        <w:tc>
          <w:tcPr>
            <w:tcW w:w="2340" w:type="dxa"/>
            <w:tcMar>
              <w:top w:w="40" w:type="dxa"/>
              <w:left w:w="40" w:type="dxa"/>
              <w:bottom w:w="40" w:type="dxa"/>
              <w:right w:w="40" w:type="dxa"/>
            </w:tcMar>
            <w:vAlign w:val="center"/>
          </w:tcPr>
          <w:p w14:paraId="2D0909C5" w14:textId="77777777" w:rsidR="00895B32" w:rsidRDefault="00000000">
            <w:pPr>
              <w:widowControl w:val="0"/>
            </w:pPr>
            <w:r>
              <w:t>NYCKidSeq/</w:t>
            </w:r>
          </w:p>
          <w:p w14:paraId="4EC8927F" w14:textId="77777777" w:rsidR="00895B32" w:rsidRDefault="00000000">
            <w:pPr>
              <w:widowControl w:val="0"/>
            </w:pPr>
            <w:r>
              <w:t>TeleKidSeq</w:t>
            </w:r>
          </w:p>
        </w:tc>
        <w:tc>
          <w:tcPr>
            <w:tcW w:w="2340" w:type="dxa"/>
            <w:tcMar>
              <w:top w:w="40" w:type="dxa"/>
              <w:left w:w="40" w:type="dxa"/>
              <w:bottom w:w="40" w:type="dxa"/>
              <w:right w:w="40" w:type="dxa"/>
            </w:tcMar>
            <w:vAlign w:val="bottom"/>
          </w:tcPr>
          <w:p w14:paraId="7FA8FA5C" w14:textId="77777777" w:rsidR="00895B32" w:rsidRDefault="00000000">
            <w:pPr>
              <w:widowControl w:val="0"/>
            </w:pPr>
            <w:r>
              <w:t>Survey completion date</w:t>
            </w:r>
          </w:p>
        </w:tc>
        <w:tc>
          <w:tcPr>
            <w:tcW w:w="2340" w:type="dxa"/>
            <w:tcMar>
              <w:top w:w="40" w:type="dxa"/>
              <w:left w:w="40" w:type="dxa"/>
              <w:bottom w:w="40" w:type="dxa"/>
              <w:right w:w="40" w:type="dxa"/>
            </w:tcMar>
            <w:vAlign w:val="bottom"/>
          </w:tcPr>
          <w:p w14:paraId="10998EAA" w14:textId="77777777" w:rsidR="00895B32" w:rsidRDefault="00000000">
            <w:pPr>
              <w:widowControl w:val="0"/>
            </w:pPr>
            <w:r>
              <w:t>N/A</w:t>
            </w:r>
          </w:p>
        </w:tc>
        <w:tc>
          <w:tcPr>
            <w:tcW w:w="2340" w:type="dxa"/>
            <w:tcMar>
              <w:top w:w="40" w:type="dxa"/>
              <w:left w:w="40" w:type="dxa"/>
              <w:bottom w:w="40" w:type="dxa"/>
              <w:right w:w="40" w:type="dxa"/>
            </w:tcMar>
            <w:vAlign w:val="bottom"/>
          </w:tcPr>
          <w:p w14:paraId="6E02D151" w14:textId="77777777" w:rsidR="00895B32" w:rsidRDefault="00000000">
            <w:pPr>
              <w:widowControl w:val="0"/>
            </w:pPr>
            <w:r>
              <w:t>Survey completion date</w:t>
            </w:r>
          </w:p>
        </w:tc>
      </w:tr>
      <w:tr w:rsidR="00895B32" w14:paraId="5AAFF528" w14:textId="77777777">
        <w:tc>
          <w:tcPr>
            <w:tcW w:w="2340" w:type="dxa"/>
            <w:tcMar>
              <w:top w:w="40" w:type="dxa"/>
              <w:left w:w="40" w:type="dxa"/>
              <w:bottom w:w="40" w:type="dxa"/>
              <w:right w:w="40" w:type="dxa"/>
            </w:tcMar>
            <w:vAlign w:val="center"/>
          </w:tcPr>
          <w:p w14:paraId="119CE695" w14:textId="77777777" w:rsidR="00895B32" w:rsidRDefault="00000000">
            <w:pPr>
              <w:widowControl w:val="0"/>
            </w:pPr>
            <w:r>
              <w:t>SouthSeq</w:t>
            </w:r>
          </w:p>
        </w:tc>
        <w:tc>
          <w:tcPr>
            <w:tcW w:w="2340" w:type="dxa"/>
            <w:tcMar>
              <w:top w:w="40" w:type="dxa"/>
              <w:left w:w="40" w:type="dxa"/>
              <w:bottom w:w="40" w:type="dxa"/>
              <w:right w:w="40" w:type="dxa"/>
            </w:tcMar>
            <w:vAlign w:val="bottom"/>
          </w:tcPr>
          <w:p w14:paraId="4B4691B5" w14:textId="77777777" w:rsidR="00895B32" w:rsidRDefault="00000000">
            <w:pPr>
              <w:widowControl w:val="0"/>
            </w:pPr>
            <w:r>
              <w:t>Consent date</w:t>
            </w:r>
          </w:p>
        </w:tc>
        <w:tc>
          <w:tcPr>
            <w:tcW w:w="2340" w:type="dxa"/>
            <w:tcMar>
              <w:top w:w="40" w:type="dxa"/>
              <w:left w:w="40" w:type="dxa"/>
              <w:bottom w:w="40" w:type="dxa"/>
              <w:right w:w="40" w:type="dxa"/>
            </w:tcMar>
            <w:vAlign w:val="bottom"/>
          </w:tcPr>
          <w:p w14:paraId="6D50B3B4" w14:textId="77777777" w:rsidR="00895B32" w:rsidRDefault="00000000">
            <w:pPr>
              <w:widowControl w:val="0"/>
            </w:pPr>
            <w:r>
              <w:t>Consent date</w:t>
            </w:r>
          </w:p>
        </w:tc>
        <w:tc>
          <w:tcPr>
            <w:tcW w:w="2340" w:type="dxa"/>
            <w:tcMar>
              <w:top w:w="40" w:type="dxa"/>
              <w:left w:w="40" w:type="dxa"/>
              <w:bottom w:w="40" w:type="dxa"/>
              <w:right w:w="40" w:type="dxa"/>
            </w:tcMar>
            <w:vAlign w:val="bottom"/>
          </w:tcPr>
          <w:p w14:paraId="4C0AF042" w14:textId="77777777" w:rsidR="00895B32" w:rsidRDefault="00000000">
            <w:pPr>
              <w:widowControl w:val="0"/>
            </w:pPr>
            <w:r>
              <w:t>Consent date</w:t>
            </w:r>
          </w:p>
        </w:tc>
      </w:tr>
      <w:tr w:rsidR="00895B32" w14:paraId="71143852" w14:textId="77777777">
        <w:tc>
          <w:tcPr>
            <w:tcW w:w="2340" w:type="dxa"/>
            <w:tcMar>
              <w:top w:w="40" w:type="dxa"/>
              <w:left w:w="40" w:type="dxa"/>
              <w:bottom w:w="40" w:type="dxa"/>
              <w:right w:w="40" w:type="dxa"/>
            </w:tcMar>
            <w:vAlign w:val="center"/>
          </w:tcPr>
          <w:p w14:paraId="2B5CEFED" w14:textId="77777777" w:rsidR="00895B32" w:rsidRDefault="00000000">
            <w:pPr>
              <w:widowControl w:val="0"/>
            </w:pPr>
            <w:r>
              <w:t>NCGENES 2</w:t>
            </w:r>
          </w:p>
        </w:tc>
        <w:tc>
          <w:tcPr>
            <w:tcW w:w="2340" w:type="dxa"/>
            <w:tcMar>
              <w:top w:w="40" w:type="dxa"/>
              <w:left w:w="40" w:type="dxa"/>
              <w:bottom w:w="40" w:type="dxa"/>
              <w:right w:w="40" w:type="dxa"/>
            </w:tcMar>
            <w:vAlign w:val="bottom"/>
          </w:tcPr>
          <w:p w14:paraId="276D1C42" w14:textId="77777777" w:rsidR="00895B32" w:rsidRDefault="00000000">
            <w:pPr>
              <w:widowControl w:val="0"/>
            </w:pPr>
            <w:r>
              <w:t>Eligibility date</w:t>
            </w:r>
          </w:p>
        </w:tc>
        <w:tc>
          <w:tcPr>
            <w:tcW w:w="2340" w:type="dxa"/>
            <w:tcMar>
              <w:top w:w="40" w:type="dxa"/>
              <w:left w:w="40" w:type="dxa"/>
              <w:bottom w:w="40" w:type="dxa"/>
              <w:right w:w="40" w:type="dxa"/>
            </w:tcMar>
            <w:vAlign w:val="bottom"/>
          </w:tcPr>
          <w:p w14:paraId="1FE1DC8E" w14:textId="77777777" w:rsidR="00895B32" w:rsidRDefault="00000000">
            <w:pPr>
              <w:widowControl w:val="0"/>
            </w:pPr>
            <w:r>
              <w:t>N/A</w:t>
            </w:r>
          </w:p>
        </w:tc>
        <w:tc>
          <w:tcPr>
            <w:tcW w:w="2340" w:type="dxa"/>
            <w:tcMar>
              <w:top w:w="40" w:type="dxa"/>
              <w:left w:w="40" w:type="dxa"/>
              <w:bottom w:w="40" w:type="dxa"/>
              <w:right w:w="40" w:type="dxa"/>
            </w:tcMar>
            <w:vAlign w:val="bottom"/>
          </w:tcPr>
          <w:p w14:paraId="36D6FF7D" w14:textId="77777777" w:rsidR="00895B32" w:rsidRDefault="00000000">
            <w:pPr>
              <w:widowControl w:val="0"/>
            </w:pPr>
            <w:r>
              <w:t>Date of FU2 survey mailing</w:t>
            </w:r>
          </w:p>
        </w:tc>
      </w:tr>
      <w:tr w:rsidR="00895B32" w14:paraId="2D959B5E" w14:textId="77777777">
        <w:tc>
          <w:tcPr>
            <w:tcW w:w="2340" w:type="dxa"/>
            <w:tcMar>
              <w:top w:w="40" w:type="dxa"/>
              <w:left w:w="40" w:type="dxa"/>
              <w:bottom w:w="40" w:type="dxa"/>
              <w:right w:w="40" w:type="dxa"/>
            </w:tcMar>
            <w:vAlign w:val="center"/>
          </w:tcPr>
          <w:p w14:paraId="2FC1A0CB" w14:textId="77777777" w:rsidR="00895B32" w:rsidRDefault="00000000">
            <w:pPr>
              <w:widowControl w:val="0"/>
            </w:pPr>
            <w:r>
              <w:t>CHARM</w:t>
            </w:r>
          </w:p>
        </w:tc>
        <w:tc>
          <w:tcPr>
            <w:tcW w:w="2340" w:type="dxa"/>
            <w:tcMar>
              <w:top w:w="40" w:type="dxa"/>
              <w:left w:w="40" w:type="dxa"/>
              <w:bottom w:w="40" w:type="dxa"/>
              <w:right w:w="40" w:type="dxa"/>
            </w:tcMar>
            <w:vAlign w:val="bottom"/>
          </w:tcPr>
          <w:p w14:paraId="32426117" w14:textId="77777777" w:rsidR="00895B32" w:rsidRDefault="00000000">
            <w:pPr>
              <w:widowControl w:val="0"/>
            </w:pPr>
            <w:r>
              <w:t>Survey completion date</w:t>
            </w:r>
          </w:p>
        </w:tc>
        <w:tc>
          <w:tcPr>
            <w:tcW w:w="2340" w:type="dxa"/>
            <w:tcMar>
              <w:top w:w="40" w:type="dxa"/>
              <w:left w:w="40" w:type="dxa"/>
              <w:bottom w:w="40" w:type="dxa"/>
              <w:right w:w="40" w:type="dxa"/>
            </w:tcMar>
            <w:vAlign w:val="bottom"/>
          </w:tcPr>
          <w:p w14:paraId="379384ED" w14:textId="77777777" w:rsidR="00895B32" w:rsidRDefault="00000000">
            <w:pPr>
              <w:widowControl w:val="0"/>
            </w:pPr>
            <w:r>
              <w:t>Haven't used, but would use survey completion date</w:t>
            </w:r>
          </w:p>
        </w:tc>
        <w:tc>
          <w:tcPr>
            <w:tcW w:w="2340" w:type="dxa"/>
            <w:tcMar>
              <w:top w:w="40" w:type="dxa"/>
              <w:left w:w="40" w:type="dxa"/>
              <w:bottom w:w="40" w:type="dxa"/>
              <w:right w:w="40" w:type="dxa"/>
            </w:tcMar>
            <w:vAlign w:val="bottom"/>
          </w:tcPr>
          <w:p w14:paraId="315F3C35" w14:textId="77777777" w:rsidR="00895B32" w:rsidRDefault="00000000">
            <w:pPr>
              <w:widowControl w:val="0"/>
            </w:pPr>
            <w:r>
              <w:t>Haven't used, but would use survey completion date</w:t>
            </w:r>
          </w:p>
        </w:tc>
      </w:tr>
    </w:tbl>
    <w:p w14:paraId="5F761E04" w14:textId="77777777" w:rsidR="00895B32" w:rsidRDefault="00895B32"/>
    <w:p w14:paraId="516A7A7C" w14:textId="77777777" w:rsidR="00895B32" w:rsidRDefault="00895B32"/>
    <w:p w14:paraId="7CE9CAA0" w14:textId="77777777" w:rsidR="00895B32" w:rsidRDefault="00000000">
      <w:pPr>
        <w:pStyle w:val="Heading1"/>
      </w:pPr>
      <w:bookmarkStart w:id="26" w:name="_s1ghdsiz2kmt" w:colFirst="0" w:colLast="0"/>
      <w:bookmarkEnd w:id="26"/>
      <w:r>
        <w:t>Sequencing Metrics</w:t>
      </w:r>
    </w:p>
    <w:p w14:paraId="300F4553" w14:textId="77777777" w:rsidR="00895B32" w:rsidRDefault="00000000">
      <w:pPr>
        <w:pStyle w:val="Heading2"/>
      </w:pPr>
      <w:bookmarkStart w:id="27" w:name="_qlhzkncepid" w:colFirst="0" w:colLast="0"/>
      <w:bookmarkEnd w:id="27"/>
      <w:r>
        <w:t>Site-level application of case-level diagnostic categories</w:t>
      </w:r>
    </w:p>
    <w:tbl>
      <w:tblPr>
        <w:tblStyle w:val="a8"/>
        <w:tblW w:w="9375"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025"/>
        <w:gridCol w:w="1935"/>
        <w:gridCol w:w="1995"/>
        <w:gridCol w:w="1920"/>
      </w:tblGrid>
      <w:tr w:rsidR="00895B32" w14:paraId="2618DD08" w14:textId="77777777">
        <w:tc>
          <w:tcPr>
            <w:tcW w:w="1500" w:type="dxa"/>
            <w:shd w:val="clear" w:color="auto" w:fill="auto"/>
            <w:tcMar>
              <w:top w:w="100" w:type="dxa"/>
              <w:left w:w="100" w:type="dxa"/>
              <w:bottom w:w="100" w:type="dxa"/>
              <w:right w:w="100" w:type="dxa"/>
            </w:tcMar>
          </w:tcPr>
          <w:p w14:paraId="54E35BE4" w14:textId="77777777" w:rsidR="00895B32" w:rsidRDefault="00000000">
            <w:pPr>
              <w:widowControl w:val="0"/>
              <w:spacing w:line="240" w:lineRule="auto"/>
              <w:rPr>
                <w:b/>
              </w:rPr>
            </w:pPr>
            <w:r>
              <w:rPr>
                <w:b/>
              </w:rPr>
              <w:t xml:space="preserve">CSER </w:t>
            </w:r>
            <w:r>
              <w:rPr>
                <w:b/>
              </w:rPr>
              <w:lastRenderedPageBreak/>
              <w:t>project</w:t>
            </w:r>
          </w:p>
        </w:tc>
        <w:tc>
          <w:tcPr>
            <w:tcW w:w="2025" w:type="dxa"/>
            <w:shd w:val="clear" w:color="auto" w:fill="auto"/>
            <w:tcMar>
              <w:top w:w="100" w:type="dxa"/>
              <w:left w:w="100" w:type="dxa"/>
              <w:bottom w:w="100" w:type="dxa"/>
              <w:right w:w="100" w:type="dxa"/>
            </w:tcMar>
          </w:tcPr>
          <w:p w14:paraId="31491265" w14:textId="77777777" w:rsidR="00895B32" w:rsidRDefault="00000000">
            <w:pPr>
              <w:widowControl w:val="0"/>
              <w:spacing w:line="240" w:lineRule="auto"/>
              <w:rPr>
                <w:b/>
              </w:rPr>
            </w:pPr>
            <w:r>
              <w:rPr>
                <w:b/>
              </w:rPr>
              <w:lastRenderedPageBreak/>
              <w:t xml:space="preserve">Procedures and </w:t>
            </w:r>
            <w:r>
              <w:rPr>
                <w:b/>
              </w:rPr>
              <w:lastRenderedPageBreak/>
              <w:t>personnel assigning phenotypic category</w:t>
            </w:r>
          </w:p>
        </w:tc>
        <w:tc>
          <w:tcPr>
            <w:tcW w:w="1935" w:type="dxa"/>
            <w:shd w:val="clear" w:color="auto" w:fill="auto"/>
            <w:tcMar>
              <w:top w:w="100" w:type="dxa"/>
              <w:left w:w="100" w:type="dxa"/>
              <w:bottom w:w="100" w:type="dxa"/>
              <w:right w:w="100" w:type="dxa"/>
            </w:tcMar>
          </w:tcPr>
          <w:p w14:paraId="5B537AFD" w14:textId="77777777" w:rsidR="00895B32" w:rsidRDefault="00000000">
            <w:pPr>
              <w:widowControl w:val="0"/>
              <w:spacing w:line="240" w:lineRule="auto"/>
              <w:rPr>
                <w:b/>
              </w:rPr>
            </w:pPr>
            <w:r>
              <w:rPr>
                <w:b/>
              </w:rPr>
              <w:lastRenderedPageBreak/>
              <w:t xml:space="preserve">Study personnel </w:t>
            </w:r>
            <w:r>
              <w:rPr>
                <w:b/>
              </w:rPr>
              <w:lastRenderedPageBreak/>
              <w:t>making case-level classification</w:t>
            </w:r>
          </w:p>
        </w:tc>
        <w:tc>
          <w:tcPr>
            <w:tcW w:w="1995" w:type="dxa"/>
            <w:shd w:val="clear" w:color="auto" w:fill="auto"/>
            <w:tcMar>
              <w:top w:w="100" w:type="dxa"/>
              <w:left w:w="100" w:type="dxa"/>
              <w:bottom w:w="100" w:type="dxa"/>
              <w:right w:w="100" w:type="dxa"/>
            </w:tcMar>
          </w:tcPr>
          <w:p w14:paraId="2CA234FF" w14:textId="77777777" w:rsidR="00895B32" w:rsidRDefault="00000000">
            <w:pPr>
              <w:widowControl w:val="0"/>
              <w:spacing w:line="240" w:lineRule="auto"/>
              <w:rPr>
                <w:b/>
              </w:rPr>
            </w:pPr>
            <w:r>
              <w:rPr>
                <w:b/>
              </w:rPr>
              <w:lastRenderedPageBreak/>
              <w:t xml:space="preserve">Time point(s) at </w:t>
            </w:r>
            <w:r>
              <w:rPr>
                <w:b/>
              </w:rPr>
              <w:lastRenderedPageBreak/>
              <w:t>which classification is made</w:t>
            </w:r>
          </w:p>
        </w:tc>
        <w:tc>
          <w:tcPr>
            <w:tcW w:w="1920" w:type="dxa"/>
            <w:shd w:val="clear" w:color="auto" w:fill="auto"/>
            <w:tcMar>
              <w:top w:w="100" w:type="dxa"/>
              <w:left w:w="100" w:type="dxa"/>
              <w:bottom w:w="100" w:type="dxa"/>
              <w:right w:w="100" w:type="dxa"/>
            </w:tcMar>
          </w:tcPr>
          <w:p w14:paraId="65D7E27E" w14:textId="77777777" w:rsidR="00895B32" w:rsidRDefault="00000000">
            <w:pPr>
              <w:widowControl w:val="0"/>
              <w:spacing w:line="240" w:lineRule="auto"/>
              <w:rPr>
                <w:b/>
              </w:rPr>
            </w:pPr>
            <w:r>
              <w:rPr>
                <w:b/>
              </w:rPr>
              <w:lastRenderedPageBreak/>
              <w:t xml:space="preserve">Protocols for </w:t>
            </w:r>
            <w:r>
              <w:rPr>
                <w:b/>
              </w:rPr>
              <w:lastRenderedPageBreak/>
              <w:t>updating classifications</w:t>
            </w:r>
          </w:p>
        </w:tc>
      </w:tr>
      <w:tr w:rsidR="00895B32" w14:paraId="4166C3DF" w14:textId="77777777">
        <w:tc>
          <w:tcPr>
            <w:tcW w:w="1500" w:type="dxa"/>
            <w:shd w:val="clear" w:color="auto" w:fill="auto"/>
            <w:tcMar>
              <w:top w:w="100" w:type="dxa"/>
              <w:left w:w="100" w:type="dxa"/>
              <w:bottom w:w="100" w:type="dxa"/>
              <w:right w:w="100" w:type="dxa"/>
            </w:tcMar>
          </w:tcPr>
          <w:p w14:paraId="22E44CE8" w14:textId="77777777" w:rsidR="00895B32" w:rsidRDefault="00000000">
            <w:pPr>
              <w:widowControl w:val="0"/>
              <w:spacing w:line="240" w:lineRule="auto"/>
            </w:pPr>
            <w:r>
              <w:lastRenderedPageBreak/>
              <w:t>CHARM</w:t>
            </w:r>
          </w:p>
        </w:tc>
        <w:tc>
          <w:tcPr>
            <w:tcW w:w="2025" w:type="dxa"/>
            <w:shd w:val="clear" w:color="auto" w:fill="auto"/>
            <w:tcMar>
              <w:top w:w="100" w:type="dxa"/>
              <w:left w:w="100" w:type="dxa"/>
              <w:bottom w:w="100" w:type="dxa"/>
              <w:right w:w="100" w:type="dxa"/>
            </w:tcMar>
          </w:tcPr>
          <w:p w14:paraId="2B672152" w14:textId="77777777" w:rsidR="00895B32" w:rsidRDefault="00000000">
            <w:pPr>
              <w:widowControl w:val="0"/>
              <w:spacing w:line="240" w:lineRule="auto"/>
            </w:pPr>
            <w:r>
              <w:t>All phenotypes were reported as “Other”, since participants were recruited if they were determined to be at increased risk to have a hereditary cancer syndrome rather than having cancer at the time of the study</w:t>
            </w:r>
          </w:p>
        </w:tc>
        <w:tc>
          <w:tcPr>
            <w:tcW w:w="1935" w:type="dxa"/>
            <w:shd w:val="clear" w:color="auto" w:fill="auto"/>
            <w:tcMar>
              <w:top w:w="100" w:type="dxa"/>
              <w:left w:w="100" w:type="dxa"/>
              <w:bottom w:w="100" w:type="dxa"/>
              <w:right w:w="100" w:type="dxa"/>
            </w:tcMar>
          </w:tcPr>
          <w:p w14:paraId="2E7613BE" w14:textId="77777777" w:rsidR="00895B32" w:rsidRDefault="00000000">
            <w:pPr>
              <w:widowControl w:val="0"/>
              <w:spacing w:line="240" w:lineRule="auto"/>
            </w:pPr>
            <w:r>
              <w:t xml:space="preserve">Genetic counselor </w:t>
            </w:r>
          </w:p>
        </w:tc>
        <w:tc>
          <w:tcPr>
            <w:tcW w:w="1995" w:type="dxa"/>
            <w:shd w:val="clear" w:color="auto" w:fill="auto"/>
            <w:tcMar>
              <w:top w:w="100" w:type="dxa"/>
              <w:left w:w="100" w:type="dxa"/>
              <w:bottom w:w="100" w:type="dxa"/>
              <w:right w:w="100" w:type="dxa"/>
            </w:tcMar>
          </w:tcPr>
          <w:p w14:paraId="02E02869" w14:textId="77777777" w:rsidR="00895B32" w:rsidRDefault="00000000">
            <w:pPr>
              <w:widowControl w:val="0"/>
              <w:spacing w:line="240" w:lineRule="auto"/>
            </w:pPr>
            <w:r>
              <w:t xml:space="preserve">During preparation of  submission of sequencing metrics data </w:t>
            </w:r>
          </w:p>
        </w:tc>
        <w:tc>
          <w:tcPr>
            <w:tcW w:w="1920" w:type="dxa"/>
            <w:shd w:val="clear" w:color="auto" w:fill="auto"/>
            <w:tcMar>
              <w:top w:w="100" w:type="dxa"/>
              <w:left w:w="100" w:type="dxa"/>
              <w:bottom w:w="100" w:type="dxa"/>
              <w:right w:w="100" w:type="dxa"/>
            </w:tcMar>
          </w:tcPr>
          <w:p w14:paraId="6C7AE316" w14:textId="77777777" w:rsidR="00895B32" w:rsidRDefault="00000000">
            <w:pPr>
              <w:widowControl w:val="0"/>
              <w:spacing w:line="240" w:lineRule="auto"/>
            </w:pPr>
            <w:r>
              <w:t xml:space="preserve">Case level diagnostic categories were updated if a variant was reclassified during the course of the study. </w:t>
            </w:r>
          </w:p>
        </w:tc>
      </w:tr>
      <w:tr w:rsidR="00895B32" w14:paraId="411EE263" w14:textId="77777777">
        <w:tc>
          <w:tcPr>
            <w:tcW w:w="1500" w:type="dxa"/>
            <w:shd w:val="clear" w:color="auto" w:fill="auto"/>
            <w:tcMar>
              <w:top w:w="100" w:type="dxa"/>
              <w:left w:w="100" w:type="dxa"/>
              <w:bottom w:w="100" w:type="dxa"/>
              <w:right w:w="100" w:type="dxa"/>
            </w:tcMar>
          </w:tcPr>
          <w:p w14:paraId="1E751CC1" w14:textId="77777777" w:rsidR="00895B32" w:rsidRDefault="00000000">
            <w:pPr>
              <w:widowControl w:val="0"/>
              <w:spacing w:line="240" w:lineRule="auto"/>
            </w:pPr>
            <w:r>
              <w:t>KidsCanSeq</w:t>
            </w:r>
          </w:p>
        </w:tc>
        <w:tc>
          <w:tcPr>
            <w:tcW w:w="2025" w:type="dxa"/>
            <w:shd w:val="clear" w:color="auto" w:fill="auto"/>
            <w:tcMar>
              <w:top w:w="100" w:type="dxa"/>
              <w:left w:w="100" w:type="dxa"/>
              <w:bottom w:w="100" w:type="dxa"/>
              <w:right w:w="100" w:type="dxa"/>
            </w:tcMar>
          </w:tcPr>
          <w:p w14:paraId="0DDCCA52" w14:textId="77777777" w:rsidR="00895B32" w:rsidRDefault="00000000">
            <w:pPr>
              <w:widowControl w:val="0"/>
              <w:spacing w:line="240" w:lineRule="auto"/>
            </w:pPr>
            <w:r>
              <w:t>All subjects required to have cancer as a phenotype. Medical records were reviewed by site genetic counselors at each subsite and entered into a phenotype checklist in the study database. Lauren Desrosiers (GC) and study PI (ABMGG clinical geneticist) reviewed and made final determination..</w:t>
            </w:r>
          </w:p>
        </w:tc>
        <w:tc>
          <w:tcPr>
            <w:tcW w:w="1935" w:type="dxa"/>
            <w:shd w:val="clear" w:color="auto" w:fill="auto"/>
            <w:tcMar>
              <w:top w:w="100" w:type="dxa"/>
              <w:left w:w="100" w:type="dxa"/>
              <w:bottom w:w="100" w:type="dxa"/>
              <w:right w:w="100" w:type="dxa"/>
            </w:tcMar>
          </w:tcPr>
          <w:p w14:paraId="6A4A53B9" w14:textId="77777777" w:rsidR="00895B32" w:rsidRDefault="00000000">
            <w:pPr>
              <w:widowControl w:val="0"/>
              <w:spacing w:line="240" w:lineRule="auto"/>
            </w:pPr>
            <w:r>
              <w:t xml:space="preserve">Weekly review of exome test results with study PI (ABMGG), Lauren Desrosiers (GC) and GC staff from each subsite. </w:t>
            </w:r>
          </w:p>
        </w:tc>
        <w:tc>
          <w:tcPr>
            <w:tcW w:w="1995" w:type="dxa"/>
            <w:shd w:val="clear" w:color="auto" w:fill="auto"/>
            <w:tcMar>
              <w:top w:w="100" w:type="dxa"/>
              <w:left w:w="100" w:type="dxa"/>
              <w:bottom w:w="100" w:type="dxa"/>
              <w:right w:w="100" w:type="dxa"/>
            </w:tcMar>
          </w:tcPr>
          <w:p w14:paraId="407AD94B" w14:textId="77777777" w:rsidR="00895B32" w:rsidRDefault="00000000">
            <w:pPr>
              <w:widowControl w:val="0"/>
              <w:spacing w:line="240" w:lineRule="auto"/>
            </w:pPr>
            <w:r>
              <w:t>Determination made at time of exome report review or prior to result disclosure.</w:t>
            </w:r>
          </w:p>
          <w:p w14:paraId="43EEDA1A" w14:textId="77777777" w:rsidR="00895B32" w:rsidRDefault="00895B32">
            <w:pPr>
              <w:widowControl w:val="0"/>
              <w:spacing w:line="240" w:lineRule="auto"/>
            </w:pPr>
          </w:p>
        </w:tc>
        <w:tc>
          <w:tcPr>
            <w:tcW w:w="1920" w:type="dxa"/>
            <w:shd w:val="clear" w:color="auto" w:fill="auto"/>
            <w:tcMar>
              <w:top w:w="100" w:type="dxa"/>
              <w:left w:w="100" w:type="dxa"/>
              <w:bottom w:w="100" w:type="dxa"/>
              <w:right w:w="100" w:type="dxa"/>
            </w:tcMar>
          </w:tcPr>
          <w:p w14:paraId="3D31F8B4" w14:textId="77777777" w:rsidR="00895B32" w:rsidRDefault="00000000">
            <w:pPr>
              <w:widowControl w:val="0"/>
              <w:spacing w:line="240" w:lineRule="auto"/>
            </w:pPr>
            <w:r>
              <w:t>Need for update raised at weekly meeting to review exome results.</w:t>
            </w:r>
          </w:p>
        </w:tc>
      </w:tr>
      <w:tr w:rsidR="00895B32" w14:paraId="250E5EC9" w14:textId="77777777">
        <w:tc>
          <w:tcPr>
            <w:tcW w:w="1500" w:type="dxa"/>
            <w:shd w:val="clear" w:color="auto" w:fill="auto"/>
            <w:tcMar>
              <w:top w:w="100" w:type="dxa"/>
              <w:left w:w="100" w:type="dxa"/>
              <w:bottom w:w="100" w:type="dxa"/>
              <w:right w:w="100" w:type="dxa"/>
            </w:tcMar>
          </w:tcPr>
          <w:p w14:paraId="58DFD75D" w14:textId="77777777" w:rsidR="00895B32" w:rsidRDefault="00000000">
            <w:pPr>
              <w:widowControl w:val="0"/>
              <w:spacing w:line="240" w:lineRule="auto"/>
            </w:pPr>
            <w:r>
              <w:t>NCGENES2</w:t>
            </w:r>
          </w:p>
        </w:tc>
        <w:tc>
          <w:tcPr>
            <w:tcW w:w="2025" w:type="dxa"/>
            <w:shd w:val="clear" w:color="auto" w:fill="auto"/>
            <w:tcMar>
              <w:top w:w="100" w:type="dxa"/>
              <w:left w:w="100" w:type="dxa"/>
              <w:bottom w:w="100" w:type="dxa"/>
              <w:right w:w="100" w:type="dxa"/>
            </w:tcMar>
          </w:tcPr>
          <w:p w14:paraId="1E55FE1A" w14:textId="77777777" w:rsidR="00895B32" w:rsidRDefault="00000000">
            <w:pPr>
              <w:widowControl w:val="0"/>
              <w:spacing w:line="240" w:lineRule="auto"/>
            </w:pPr>
            <w:r>
              <w:t xml:space="preserve">Selected from available categories by enrolling clinician at initial visit </w:t>
            </w:r>
          </w:p>
        </w:tc>
        <w:tc>
          <w:tcPr>
            <w:tcW w:w="1935" w:type="dxa"/>
            <w:shd w:val="clear" w:color="auto" w:fill="auto"/>
            <w:tcMar>
              <w:top w:w="100" w:type="dxa"/>
              <w:left w:w="100" w:type="dxa"/>
              <w:bottom w:w="100" w:type="dxa"/>
              <w:right w:w="100" w:type="dxa"/>
            </w:tcMar>
          </w:tcPr>
          <w:p w14:paraId="6401F3D3" w14:textId="77777777" w:rsidR="00895B32" w:rsidRDefault="00000000">
            <w:pPr>
              <w:widowControl w:val="0"/>
              <w:spacing w:line="240" w:lineRule="auto"/>
            </w:pPr>
            <w:r>
              <w:t>Molecular pathologist (in consultation with multidisciplinary sign-out committee)</w:t>
            </w:r>
          </w:p>
        </w:tc>
        <w:tc>
          <w:tcPr>
            <w:tcW w:w="1995" w:type="dxa"/>
            <w:shd w:val="clear" w:color="auto" w:fill="auto"/>
            <w:tcMar>
              <w:top w:w="100" w:type="dxa"/>
              <w:left w:w="100" w:type="dxa"/>
              <w:bottom w:w="100" w:type="dxa"/>
              <w:right w:w="100" w:type="dxa"/>
            </w:tcMar>
          </w:tcPr>
          <w:p w14:paraId="39F3D153" w14:textId="77777777" w:rsidR="00895B32" w:rsidRDefault="00000000">
            <w:pPr>
              <w:widowControl w:val="0"/>
              <w:spacing w:line="240" w:lineRule="auto"/>
            </w:pPr>
            <w:r>
              <w:t>Prior to initial result reporting. Re-assessed after discussion with study clinician and/or after secondary testing performed (e.g., parental testing to determine phase)</w:t>
            </w:r>
          </w:p>
        </w:tc>
        <w:tc>
          <w:tcPr>
            <w:tcW w:w="1920" w:type="dxa"/>
            <w:shd w:val="clear" w:color="auto" w:fill="auto"/>
            <w:tcMar>
              <w:top w:w="100" w:type="dxa"/>
              <w:left w:w="100" w:type="dxa"/>
              <w:bottom w:w="100" w:type="dxa"/>
              <w:right w:w="100" w:type="dxa"/>
            </w:tcMar>
          </w:tcPr>
          <w:p w14:paraId="59B237AA" w14:textId="77777777" w:rsidR="00895B32" w:rsidRDefault="00000000">
            <w:pPr>
              <w:widowControl w:val="0"/>
              <w:spacing w:line="240" w:lineRule="auto"/>
            </w:pPr>
            <w:r>
              <w:t xml:space="preserve">Study clinicians may prompt re-evaluation with additional clinical information. Sign-out committee meets with study clinicians on semi-annual </w:t>
            </w:r>
            <w:r>
              <w:lastRenderedPageBreak/>
              <w:t>basis to review results and case-level classification</w:t>
            </w:r>
          </w:p>
        </w:tc>
      </w:tr>
      <w:tr w:rsidR="00895B32" w14:paraId="3A3A7F2E" w14:textId="77777777">
        <w:tc>
          <w:tcPr>
            <w:tcW w:w="1500" w:type="dxa"/>
            <w:shd w:val="clear" w:color="auto" w:fill="auto"/>
            <w:tcMar>
              <w:top w:w="100" w:type="dxa"/>
              <w:left w:w="100" w:type="dxa"/>
              <w:bottom w:w="100" w:type="dxa"/>
              <w:right w:w="100" w:type="dxa"/>
            </w:tcMar>
          </w:tcPr>
          <w:p w14:paraId="3356F952" w14:textId="77777777" w:rsidR="00895B32" w:rsidRDefault="00000000">
            <w:pPr>
              <w:widowControl w:val="0"/>
              <w:spacing w:line="240" w:lineRule="auto"/>
            </w:pPr>
            <w:r>
              <w:lastRenderedPageBreak/>
              <w:t>NYCKidSeq/</w:t>
            </w:r>
          </w:p>
          <w:p w14:paraId="2AA79063" w14:textId="77777777" w:rsidR="00895B32" w:rsidRDefault="00000000">
            <w:pPr>
              <w:widowControl w:val="0"/>
              <w:spacing w:line="240" w:lineRule="auto"/>
            </w:pPr>
            <w:r>
              <w:t>TeleKidSeq</w:t>
            </w:r>
          </w:p>
        </w:tc>
        <w:tc>
          <w:tcPr>
            <w:tcW w:w="2025" w:type="dxa"/>
            <w:shd w:val="clear" w:color="auto" w:fill="auto"/>
            <w:tcMar>
              <w:top w:w="100" w:type="dxa"/>
              <w:left w:w="100" w:type="dxa"/>
              <w:bottom w:w="100" w:type="dxa"/>
              <w:right w:w="100" w:type="dxa"/>
            </w:tcMar>
          </w:tcPr>
          <w:p w14:paraId="795AF862" w14:textId="77777777" w:rsidR="00895B32" w:rsidRDefault="00000000">
            <w:pPr>
              <w:widowControl w:val="0"/>
              <w:spacing w:line="240" w:lineRule="auto"/>
              <w:rPr>
                <w:color w:val="201F1E"/>
                <w:highlight w:val="white"/>
              </w:rPr>
            </w:pPr>
            <w:r>
              <w:t>Referring provider selects phenotypes. This is input into a study defined phenotype checklist for our primary phenotypes and also includes open text fields for other congenital systems.</w:t>
            </w:r>
          </w:p>
          <w:p w14:paraId="31F7C050" w14:textId="77777777" w:rsidR="00895B32" w:rsidRDefault="00895B32">
            <w:pPr>
              <w:widowControl w:val="0"/>
              <w:spacing w:line="240" w:lineRule="auto"/>
            </w:pPr>
          </w:p>
        </w:tc>
        <w:tc>
          <w:tcPr>
            <w:tcW w:w="1935" w:type="dxa"/>
            <w:shd w:val="clear" w:color="auto" w:fill="auto"/>
            <w:tcMar>
              <w:top w:w="100" w:type="dxa"/>
              <w:left w:w="100" w:type="dxa"/>
              <w:bottom w:w="100" w:type="dxa"/>
              <w:right w:w="100" w:type="dxa"/>
            </w:tcMar>
          </w:tcPr>
          <w:p w14:paraId="08998885" w14:textId="77777777" w:rsidR="00895B32" w:rsidRDefault="00000000">
            <w:pPr>
              <w:widowControl w:val="0"/>
              <w:spacing w:line="240" w:lineRule="auto"/>
            </w:pPr>
            <w:r>
              <w:t xml:space="preserve">Genetic counselor in consultation with the referring provider and/or discordance committee. </w:t>
            </w:r>
          </w:p>
        </w:tc>
        <w:tc>
          <w:tcPr>
            <w:tcW w:w="1995" w:type="dxa"/>
            <w:shd w:val="clear" w:color="auto" w:fill="auto"/>
            <w:tcMar>
              <w:top w:w="100" w:type="dxa"/>
              <w:left w:w="100" w:type="dxa"/>
              <w:bottom w:w="100" w:type="dxa"/>
              <w:right w:w="100" w:type="dxa"/>
            </w:tcMar>
          </w:tcPr>
          <w:p w14:paraId="0517066D" w14:textId="77777777" w:rsidR="00895B32" w:rsidRDefault="00000000">
            <w:pPr>
              <w:widowControl w:val="0"/>
              <w:spacing w:line="240" w:lineRule="auto"/>
            </w:pPr>
            <w:r>
              <w:t xml:space="preserve">Prior to initial result reporting. </w:t>
            </w:r>
          </w:p>
        </w:tc>
        <w:tc>
          <w:tcPr>
            <w:tcW w:w="1920" w:type="dxa"/>
            <w:shd w:val="clear" w:color="auto" w:fill="auto"/>
            <w:tcMar>
              <w:top w:w="100" w:type="dxa"/>
              <w:left w:w="100" w:type="dxa"/>
              <w:bottom w:w="100" w:type="dxa"/>
              <w:right w:w="100" w:type="dxa"/>
            </w:tcMar>
          </w:tcPr>
          <w:p w14:paraId="5F5E283C" w14:textId="77777777" w:rsidR="00895B32" w:rsidRDefault="00000000">
            <w:pPr>
              <w:widowControl w:val="0"/>
              <w:spacing w:line="240" w:lineRule="auto"/>
            </w:pPr>
            <w:r>
              <w:t>Study clinicians may prompt re-evaluation with additional available parental sample(s) or clinical information. In addition, the lab may prompt re-evaluation based on changes to technology. Depending on the outcome of changes, the result will be returned to the family by the study team and/or inform the referring provider and update EHR and study database with amended report data.</w:t>
            </w:r>
          </w:p>
        </w:tc>
      </w:tr>
      <w:tr w:rsidR="00895B32" w14:paraId="4CA83056" w14:textId="77777777">
        <w:tc>
          <w:tcPr>
            <w:tcW w:w="1500" w:type="dxa"/>
            <w:shd w:val="clear" w:color="auto" w:fill="auto"/>
            <w:tcMar>
              <w:top w:w="100" w:type="dxa"/>
              <w:left w:w="100" w:type="dxa"/>
              <w:bottom w:w="100" w:type="dxa"/>
              <w:right w:w="100" w:type="dxa"/>
            </w:tcMar>
          </w:tcPr>
          <w:p w14:paraId="712DEB70" w14:textId="77777777" w:rsidR="00895B32" w:rsidRDefault="00000000">
            <w:pPr>
              <w:widowControl w:val="0"/>
              <w:spacing w:line="240" w:lineRule="auto"/>
            </w:pPr>
            <w:r>
              <w:t>P3EGS</w:t>
            </w:r>
          </w:p>
        </w:tc>
        <w:tc>
          <w:tcPr>
            <w:tcW w:w="2025" w:type="dxa"/>
            <w:shd w:val="clear" w:color="auto" w:fill="auto"/>
            <w:tcMar>
              <w:top w:w="100" w:type="dxa"/>
              <w:left w:w="100" w:type="dxa"/>
              <w:bottom w:w="100" w:type="dxa"/>
              <w:right w:w="100" w:type="dxa"/>
            </w:tcMar>
          </w:tcPr>
          <w:p w14:paraId="09AE1ED4" w14:textId="77777777" w:rsidR="00895B32" w:rsidRDefault="00000000">
            <w:pPr>
              <w:widowControl w:val="0"/>
              <w:spacing w:line="240" w:lineRule="auto"/>
            </w:pPr>
            <w:r>
              <w:t>Providers (pediatric and prenatal clinicians) select phenotypes.</w:t>
            </w:r>
          </w:p>
        </w:tc>
        <w:tc>
          <w:tcPr>
            <w:tcW w:w="1935" w:type="dxa"/>
            <w:shd w:val="clear" w:color="auto" w:fill="auto"/>
            <w:tcMar>
              <w:top w:w="100" w:type="dxa"/>
              <w:left w:w="100" w:type="dxa"/>
              <w:bottom w:w="100" w:type="dxa"/>
              <w:right w:w="100" w:type="dxa"/>
            </w:tcMar>
          </w:tcPr>
          <w:p w14:paraId="77E1574C" w14:textId="77777777" w:rsidR="00895B32" w:rsidRDefault="00000000">
            <w:pPr>
              <w:widowControl w:val="0"/>
              <w:spacing w:line="240" w:lineRule="auto"/>
            </w:pPr>
            <w:r>
              <w:t>Pediatric and prenatal PIs, in consultation with multidisciplinary exome sign-out committee</w:t>
            </w:r>
          </w:p>
        </w:tc>
        <w:tc>
          <w:tcPr>
            <w:tcW w:w="1995" w:type="dxa"/>
            <w:shd w:val="clear" w:color="auto" w:fill="auto"/>
            <w:tcMar>
              <w:top w:w="100" w:type="dxa"/>
              <w:left w:w="100" w:type="dxa"/>
              <w:bottom w:w="100" w:type="dxa"/>
              <w:right w:w="100" w:type="dxa"/>
            </w:tcMar>
          </w:tcPr>
          <w:p w14:paraId="1ADEE5DD" w14:textId="77777777" w:rsidR="00895B32" w:rsidRDefault="00000000">
            <w:pPr>
              <w:widowControl w:val="0"/>
              <w:spacing w:line="240" w:lineRule="auto"/>
            </w:pPr>
            <w:r>
              <w:t>Prior to initial result reporting.</w:t>
            </w:r>
          </w:p>
        </w:tc>
        <w:tc>
          <w:tcPr>
            <w:tcW w:w="1920" w:type="dxa"/>
            <w:shd w:val="clear" w:color="auto" w:fill="auto"/>
            <w:tcMar>
              <w:top w:w="100" w:type="dxa"/>
              <w:left w:w="100" w:type="dxa"/>
              <w:bottom w:w="100" w:type="dxa"/>
              <w:right w:w="100" w:type="dxa"/>
            </w:tcMar>
          </w:tcPr>
          <w:p w14:paraId="74250E72" w14:textId="77777777" w:rsidR="00895B32" w:rsidRDefault="00000000">
            <w:pPr>
              <w:widowControl w:val="0"/>
              <w:spacing w:line="240" w:lineRule="auto"/>
            </w:pPr>
            <w:r>
              <w:t xml:space="preserve">Study clinicians may prompt re-evaluation with additional clinical information. </w:t>
            </w:r>
          </w:p>
        </w:tc>
      </w:tr>
      <w:tr w:rsidR="00895B32" w14:paraId="00F2C716" w14:textId="77777777">
        <w:tc>
          <w:tcPr>
            <w:tcW w:w="1500" w:type="dxa"/>
            <w:shd w:val="clear" w:color="auto" w:fill="auto"/>
            <w:tcMar>
              <w:top w:w="100" w:type="dxa"/>
              <w:left w:w="100" w:type="dxa"/>
              <w:bottom w:w="100" w:type="dxa"/>
              <w:right w:w="100" w:type="dxa"/>
            </w:tcMar>
          </w:tcPr>
          <w:p w14:paraId="6B533612" w14:textId="77777777" w:rsidR="00895B32" w:rsidRDefault="00000000">
            <w:pPr>
              <w:widowControl w:val="0"/>
              <w:spacing w:line="240" w:lineRule="auto"/>
            </w:pPr>
            <w:r>
              <w:t>SouthSeq</w:t>
            </w:r>
          </w:p>
        </w:tc>
        <w:tc>
          <w:tcPr>
            <w:tcW w:w="2025" w:type="dxa"/>
            <w:shd w:val="clear" w:color="auto" w:fill="auto"/>
            <w:tcMar>
              <w:top w:w="100" w:type="dxa"/>
              <w:left w:w="100" w:type="dxa"/>
              <w:bottom w:w="100" w:type="dxa"/>
              <w:right w:w="100" w:type="dxa"/>
            </w:tcMar>
          </w:tcPr>
          <w:p w14:paraId="724E40C7" w14:textId="77777777" w:rsidR="00895B32" w:rsidRDefault="00000000">
            <w:pPr>
              <w:widowControl w:val="0"/>
              <w:spacing w:line="240" w:lineRule="auto"/>
            </w:pPr>
            <w:r>
              <w:t xml:space="preserve">The SouthSeq nurse coordinator entered phenotypes from the child’s medical record into the enrollment software used for our study. The </w:t>
            </w:r>
            <w:r>
              <w:lastRenderedPageBreak/>
              <w:t xml:space="preserve">nurses were allotted a free test as well as a list of common HPO terms to which they could select relevant conditions.The list was created by our team of researchers and clinicians to capture the major conditions/features observed in the target population.  </w:t>
            </w:r>
          </w:p>
        </w:tc>
        <w:tc>
          <w:tcPr>
            <w:tcW w:w="1935" w:type="dxa"/>
            <w:shd w:val="clear" w:color="auto" w:fill="auto"/>
            <w:tcMar>
              <w:top w:w="100" w:type="dxa"/>
              <w:left w:w="100" w:type="dxa"/>
              <w:bottom w:w="100" w:type="dxa"/>
              <w:right w:w="100" w:type="dxa"/>
            </w:tcMar>
          </w:tcPr>
          <w:p w14:paraId="3F181664" w14:textId="77777777" w:rsidR="00895B32" w:rsidRDefault="00000000">
            <w:pPr>
              <w:widowControl w:val="0"/>
              <w:spacing w:line="240" w:lineRule="auto"/>
            </w:pPr>
            <w:r>
              <w:lastRenderedPageBreak/>
              <w:t xml:space="preserve">The research team, with input from the clinical team, when necessary, made case-level designations for findings identified via genome </w:t>
            </w:r>
            <w:r>
              <w:lastRenderedPageBreak/>
              <w:t xml:space="preserve">sequencing. The clinical team would review results and voice any comments to the research team prior to returning results to the enrolled participant families. </w:t>
            </w:r>
          </w:p>
        </w:tc>
        <w:tc>
          <w:tcPr>
            <w:tcW w:w="1995" w:type="dxa"/>
            <w:shd w:val="clear" w:color="auto" w:fill="auto"/>
            <w:tcMar>
              <w:top w:w="100" w:type="dxa"/>
              <w:left w:w="100" w:type="dxa"/>
              <w:bottom w:w="100" w:type="dxa"/>
              <w:right w:w="100" w:type="dxa"/>
            </w:tcMar>
          </w:tcPr>
          <w:p w14:paraId="1A1FDD29" w14:textId="77777777" w:rsidR="00895B32" w:rsidRDefault="00000000">
            <w:pPr>
              <w:widowControl w:val="0"/>
              <w:spacing w:line="240" w:lineRule="auto"/>
            </w:pPr>
            <w:r>
              <w:lastRenderedPageBreak/>
              <w:t xml:space="preserve">Prior to initial result reporting. </w:t>
            </w:r>
          </w:p>
          <w:p w14:paraId="537437C6" w14:textId="77777777" w:rsidR="00895B32" w:rsidRDefault="00895B32">
            <w:pPr>
              <w:widowControl w:val="0"/>
              <w:spacing w:line="240" w:lineRule="auto"/>
            </w:pPr>
          </w:p>
          <w:p w14:paraId="2C8C8484" w14:textId="77777777" w:rsidR="00895B32" w:rsidRDefault="00895B32">
            <w:pPr>
              <w:widowControl w:val="0"/>
              <w:spacing w:line="240" w:lineRule="auto"/>
            </w:pPr>
          </w:p>
        </w:tc>
        <w:tc>
          <w:tcPr>
            <w:tcW w:w="1920" w:type="dxa"/>
            <w:shd w:val="clear" w:color="auto" w:fill="auto"/>
            <w:tcMar>
              <w:top w:w="100" w:type="dxa"/>
              <w:left w:w="100" w:type="dxa"/>
              <w:bottom w:w="100" w:type="dxa"/>
              <w:right w:w="100" w:type="dxa"/>
            </w:tcMar>
          </w:tcPr>
          <w:p w14:paraId="25C490C6" w14:textId="77777777" w:rsidR="00895B32" w:rsidRDefault="00000000">
            <w:pPr>
              <w:widowControl w:val="0"/>
              <w:spacing w:line="240" w:lineRule="auto"/>
            </w:pPr>
            <w:r>
              <w:t xml:space="preserve">If the clinical team asked for re-evaluation of a case or if the phenotypic information was updated and disclosed to the research team </w:t>
            </w:r>
            <w:r>
              <w:lastRenderedPageBreak/>
              <w:t xml:space="preserve">after the initial result disclosure, the case may be reanalyzed and classifications may be updated accordingly. </w:t>
            </w:r>
          </w:p>
        </w:tc>
      </w:tr>
    </w:tbl>
    <w:p w14:paraId="7CCC5195" w14:textId="77777777" w:rsidR="00895B32" w:rsidRDefault="00895B32">
      <w:pPr>
        <w:spacing w:line="360" w:lineRule="auto"/>
      </w:pPr>
    </w:p>
    <w:p w14:paraId="4562C2FB" w14:textId="77777777" w:rsidR="00895B32" w:rsidRDefault="00000000">
      <w:pPr>
        <w:pStyle w:val="Heading1"/>
      </w:pPr>
      <w:bookmarkStart w:id="28" w:name="_7gtcqgbs2ob6" w:colFirst="0" w:colLast="0"/>
      <w:bookmarkEnd w:id="28"/>
      <w:r>
        <w:t>Sequence Data/Metadata</w:t>
      </w:r>
    </w:p>
    <w:p w14:paraId="78DEF451" w14:textId="77777777" w:rsidR="00895B32" w:rsidRDefault="00000000">
      <w:pPr>
        <w:pStyle w:val="Heading2"/>
      </w:pPr>
      <w:bookmarkStart w:id="29" w:name="_1tfb3rns7n7t" w:colFirst="0" w:colLast="0"/>
      <w:bookmarkEnd w:id="29"/>
      <w:r>
        <w:t>Site-level sequence data QC</w:t>
      </w:r>
    </w:p>
    <w:p w14:paraId="1C4FBF2A" w14:textId="77777777" w:rsidR="00895B32" w:rsidRDefault="00895B32"/>
    <w:tbl>
      <w:tblPr>
        <w:tblStyle w:val="a9"/>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845"/>
      </w:tblGrid>
      <w:tr w:rsidR="00895B32" w14:paraId="3542569D" w14:textId="77777777">
        <w:tc>
          <w:tcPr>
            <w:tcW w:w="1545" w:type="dxa"/>
            <w:shd w:val="clear" w:color="auto" w:fill="auto"/>
            <w:tcMar>
              <w:top w:w="100" w:type="dxa"/>
              <w:left w:w="100" w:type="dxa"/>
              <w:bottom w:w="100" w:type="dxa"/>
              <w:right w:w="100" w:type="dxa"/>
            </w:tcMar>
          </w:tcPr>
          <w:p w14:paraId="3A656BED" w14:textId="77777777" w:rsidR="00895B32" w:rsidRDefault="00000000">
            <w:pPr>
              <w:widowControl w:val="0"/>
              <w:spacing w:line="240" w:lineRule="auto"/>
              <w:jc w:val="center"/>
              <w:rPr>
                <w:b/>
              </w:rPr>
            </w:pPr>
            <w:r>
              <w:rPr>
                <w:b/>
              </w:rPr>
              <w:t>Study</w:t>
            </w:r>
          </w:p>
        </w:tc>
        <w:tc>
          <w:tcPr>
            <w:tcW w:w="7845" w:type="dxa"/>
            <w:shd w:val="clear" w:color="auto" w:fill="auto"/>
            <w:tcMar>
              <w:top w:w="100" w:type="dxa"/>
              <w:left w:w="100" w:type="dxa"/>
              <w:bottom w:w="100" w:type="dxa"/>
              <w:right w:w="100" w:type="dxa"/>
            </w:tcMar>
          </w:tcPr>
          <w:p w14:paraId="5FEA2961" w14:textId="77777777" w:rsidR="00895B32" w:rsidRDefault="00000000">
            <w:pPr>
              <w:widowControl w:val="0"/>
              <w:spacing w:line="240" w:lineRule="auto"/>
              <w:jc w:val="center"/>
              <w:rPr>
                <w:b/>
              </w:rPr>
            </w:pPr>
            <w:r>
              <w:rPr>
                <w:b/>
              </w:rPr>
              <w:t>Sequence Data QC Process</w:t>
            </w:r>
          </w:p>
        </w:tc>
      </w:tr>
      <w:tr w:rsidR="00895B32" w14:paraId="01190B55" w14:textId="77777777">
        <w:tc>
          <w:tcPr>
            <w:tcW w:w="1545" w:type="dxa"/>
            <w:shd w:val="clear" w:color="auto" w:fill="auto"/>
            <w:tcMar>
              <w:top w:w="100" w:type="dxa"/>
              <w:left w:w="100" w:type="dxa"/>
              <w:bottom w:w="100" w:type="dxa"/>
              <w:right w:w="100" w:type="dxa"/>
            </w:tcMar>
          </w:tcPr>
          <w:p w14:paraId="4D019FD9" w14:textId="77777777" w:rsidR="00895B32" w:rsidRDefault="00000000">
            <w:pPr>
              <w:jc w:val="center"/>
            </w:pPr>
            <w:r>
              <w:t>CHARM</w:t>
            </w:r>
          </w:p>
        </w:tc>
        <w:tc>
          <w:tcPr>
            <w:tcW w:w="7845" w:type="dxa"/>
            <w:shd w:val="clear" w:color="auto" w:fill="auto"/>
            <w:tcMar>
              <w:top w:w="100" w:type="dxa"/>
              <w:left w:w="100" w:type="dxa"/>
              <w:bottom w:w="100" w:type="dxa"/>
              <w:right w:w="100" w:type="dxa"/>
            </w:tcMar>
          </w:tcPr>
          <w:p w14:paraId="525E275D" w14:textId="77777777" w:rsidR="00895B32" w:rsidRDefault="00000000">
            <w:pPr>
              <w:widowControl w:val="0"/>
              <w:spacing w:line="240" w:lineRule="auto"/>
            </w:pPr>
            <w:r>
              <w:t xml:space="preserve">Next generation DNA sequencing identified variants, including single base substitutions, small insertions/deletions (&lt;50bp) and deletions/duplications (single exon to whole gene) in the coding portions of the targeted genes. &gt;95% of the coding regions and canonical splice sites were sequenced to a read coverage of &gt;20X and compared to the human reference genome. This assay does not detect variants located: 1) outside the captured target, 2) in regions of insufficient coverage, 3) in regions containing paralogous genes or pseudogenes and 4) where the reference genome is inaccurate or contains gaps and insertions. This test has limited ability to detect low-level mosaicism and is not capable of detecting repeat expansions (ie. tri-nucleotide). Deletions and duplications, larger than a single gene, will not be detected. </w:t>
            </w:r>
          </w:p>
        </w:tc>
      </w:tr>
      <w:tr w:rsidR="00895B32" w14:paraId="4E371A57" w14:textId="77777777">
        <w:trPr>
          <w:trHeight w:val="5279"/>
        </w:trPr>
        <w:tc>
          <w:tcPr>
            <w:tcW w:w="1545" w:type="dxa"/>
            <w:shd w:val="clear" w:color="auto" w:fill="auto"/>
            <w:tcMar>
              <w:top w:w="100" w:type="dxa"/>
              <w:left w:w="100" w:type="dxa"/>
              <w:bottom w:w="100" w:type="dxa"/>
              <w:right w:w="100" w:type="dxa"/>
            </w:tcMar>
          </w:tcPr>
          <w:p w14:paraId="38D4689D" w14:textId="77777777" w:rsidR="00895B32" w:rsidRDefault="00000000">
            <w:pPr>
              <w:jc w:val="center"/>
            </w:pPr>
            <w:r>
              <w:lastRenderedPageBreak/>
              <w:t>ClinSeq</w:t>
            </w:r>
          </w:p>
        </w:tc>
        <w:tc>
          <w:tcPr>
            <w:tcW w:w="7845" w:type="dxa"/>
            <w:shd w:val="clear" w:color="auto" w:fill="auto"/>
            <w:tcMar>
              <w:top w:w="100" w:type="dxa"/>
              <w:left w:w="100" w:type="dxa"/>
              <w:bottom w:w="100" w:type="dxa"/>
              <w:right w:w="100" w:type="dxa"/>
            </w:tcMar>
          </w:tcPr>
          <w:p w14:paraId="47BE135F" w14:textId="77777777" w:rsidR="00895B32" w:rsidRDefault="00000000">
            <w:pPr>
              <w:widowControl w:val="0"/>
              <w:spacing w:line="240" w:lineRule="auto"/>
            </w:pPr>
            <w:r>
              <w:t>“We have implemented a number of steps for the quality control of ClinSeq-generated sequence data. For example, to ensure that a particular DNA sample being sequenced is, in fact, the same DNA sample analyzed at another point in time, we use a novel sample-tagging strategy that we developed. Specifically, upon arrival at the NIH Intramural Sequencing Center (NISC), each human DNA sample is “spiked” with an aliquot of a plasmid containing a unique segment of nonprimate DNA whose sequence is known not to be present in the human genome. Upon every use of that human DNA sample, the insert of the spiked plasmid is PCR-amplified and sequenced, so as to confirm that the correct spike DNA is present (and thus that the same ClinSeq participant DNA was used as previously). This approach does not tie the research DNA sample to the CLIA (Clinical Laboratory Improvement Amendments) DNA sample; in fact, ClinSeq has been designed with an information and data firewall that separates testing of the research DNA sample from the clinical data.</w:t>
            </w:r>
          </w:p>
          <w:p w14:paraId="61F9FBA0" w14:textId="77777777" w:rsidR="00895B32" w:rsidRDefault="00000000">
            <w:pPr>
              <w:widowControl w:val="0"/>
              <w:shd w:val="clear" w:color="auto" w:fill="FFFFFF"/>
              <w:spacing w:before="400" w:after="400" w:line="240" w:lineRule="auto"/>
            </w:pPr>
            <w:r>
              <w:t>Our quality control measures for detecting sequence variants involve the routine analysis of HapMap (</w:t>
            </w:r>
            <w:hyperlink r:id="rId31" w:anchor="B15">
              <w:r>
                <w:rPr>
                  <w:u w:val="single"/>
                </w:rPr>
                <w:t>The International HapMap Consortium 2007</w:t>
              </w:r>
            </w:hyperlink>
            <w:r>
              <w:t xml:space="preserve">) DNA samples, which are associated with extensive genotype data at known variant sites. Specifically, for every 30 ClinSeq participant DNA samples analyzed, we sequence the same genomic regions in one HapMap sample. The sequence generated with the HapMap samples is interrogated for the presence of known variants (from the available genotype data) to assess our overall false-negative rate. Such quality control steps facilitate the generation of reliable data, the estimation of false-negative rates, and accurate variant detection” </w:t>
            </w:r>
            <w:hyperlink r:id="rId32">
              <w:r>
                <w:t>[2]</w:t>
              </w:r>
            </w:hyperlink>
            <w:r>
              <w:t>.</w:t>
            </w:r>
          </w:p>
        </w:tc>
      </w:tr>
      <w:tr w:rsidR="00895B32" w14:paraId="6151E862" w14:textId="77777777">
        <w:tc>
          <w:tcPr>
            <w:tcW w:w="1545" w:type="dxa"/>
            <w:shd w:val="clear" w:color="auto" w:fill="auto"/>
            <w:tcMar>
              <w:top w:w="100" w:type="dxa"/>
              <w:left w:w="100" w:type="dxa"/>
              <w:bottom w:w="100" w:type="dxa"/>
              <w:right w:w="100" w:type="dxa"/>
            </w:tcMar>
          </w:tcPr>
          <w:p w14:paraId="32FA670E" w14:textId="77777777" w:rsidR="00895B32" w:rsidRDefault="00000000">
            <w:pPr>
              <w:jc w:val="center"/>
            </w:pPr>
            <w:r>
              <w:t>KidsCanSeq</w:t>
            </w:r>
          </w:p>
        </w:tc>
        <w:tc>
          <w:tcPr>
            <w:tcW w:w="7845" w:type="dxa"/>
            <w:shd w:val="clear" w:color="auto" w:fill="auto"/>
            <w:tcMar>
              <w:top w:w="100" w:type="dxa"/>
              <w:left w:w="100" w:type="dxa"/>
              <w:bottom w:w="100" w:type="dxa"/>
              <w:right w:w="100" w:type="dxa"/>
            </w:tcMar>
          </w:tcPr>
          <w:p w14:paraId="4B5049B2" w14:textId="77777777" w:rsidR="00895B32" w:rsidRDefault="00000000">
            <w:pPr>
              <w:widowControl w:val="0"/>
              <w:spacing w:line="240" w:lineRule="auto"/>
            </w:pPr>
            <w:r>
              <w:t>The following sequencing quality metrics were assessed for performance and used as the criteria for passing.</w:t>
            </w:r>
          </w:p>
          <w:p w14:paraId="622801B0" w14:textId="77777777" w:rsidR="00895B32" w:rsidRDefault="00895B32">
            <w:pPr>
              <w:widowControl w:val="0"/>
              <w:spacing w:line="240" w:lineRule="auto"/>
            </w:pPr>
          </w:p>
          <w:p w14:paraId="33D5967A" w14:textId="77777777" w:rsidR="00895B32" w:rsidRDefault="00000000">
            <w:pPr>
              <w:widowControl w:val="0"/>
              <w:spacing w:line="240" w:lineRule="auto"/>
            </w:pPr>
            <w:r>
              <w:t>&gt;50 % of the reads aligned to target/buffer</w:t>
            </w:r>
          </w:p>
          <w:p w14:paraId="23FAA27C" w14:textId="77777777" w:rsidR="00895B32" w:rsidRDefault="00000000">
            <w:pPr>
              <w:widowControl w:val="0"/>
              <w:spacing w:line="240" w:lineRule="auto"/>
            </w:pPr>
            <w:r>
              <w:t>&gt;95% of targeted bases covered at 20x</w:t>
            </w:r>
          </w:p>
          <w:p w14:paraId="6138328E" w14:textId="77777777" w:rsidR="00895B32" w:rsidRDefault="00000000">
            <w:pPr>
              <w:widowControl w:val="0"/>
              <w:spacing w:line="240" w:lineRule="auto"/>
            </w:pPr>
            <w:r>
              <w:t>&gt;85% of targeted bases covered at 40x</w:t>
            </w:r>
          </w:p>
          <w:p w14:paraId="43F864AD" w14:textId="77777777" w:rsidR="00895B32" w:rsidRDefault="00000000">
            <w:pPr>
              <w:widowControl w:val="0"/>
              <w:spacing w:line="240" w:lineRule="auto"/>
            </w:pPr>
            <w:r>
              <w:t>Average coverage &gt;100x</w:t>
            </w:r>
          </w:p>
          <w:p w14:paraId="2B3B1AB0" w14:textId="77777777" w:rsidR="00895B32" w:rsidRDefault="00000000">
            <w:pPr>
              <w:widowControl w:val="0"/>
              <w:spacing w:line="240" w:lineRule="auto"/>
            </w:pPr>
            <w:r>
              <w:t xml:space="preserve">In addition to the above sequencing quality metrics, the HGSC developed quality control software ERIS was used to assess contamination and validate the identity of samples by comparing sequencing reads to the Fluidigm SNPtrace array data. </w:t>
            </w:r>
          </w:p>
          <w:p w14:paraId="157BA39D" w14:textId="77777777" w:rsidR="00895B32" w:rsidRDefault="00895B32">
            <w:pPr>
              <w:widowControl w:val="0"/>
              <w:spacing w:line="240" w:lineRule="auto"/>
            </w:pPr>
          </w:p>
          <w:p w14:paraId="43407110" w14:textId="77777777" w:rsidR="00895B32" w:rsidRDefault="00000000">
            <w:pPr>
              <w:widowControl w:val="0"/>
              <w:spacing w:line="240" w:lineRule="auto"/>
            </w:pPr>
            <w:r>
              <w:t>Concordance between SNPtrace and sequencing data  &gt;90%</w:t>
            </w:r>
          </w:p>
          <w:p w14:paraId="1A3E410A" w14:textId="77777777" w:rsidR="00895B32" w:rsidRDefault="00000000">
            <w:pPr>
              <w:widowControl w:val="0"/>
              <w:spacing w:line="240" w:lineRule="auto"/>
            </w:pPr>
            <w:r>
              <w:t>Contamination rate &lt;10%</w:t>
            </w:r>
          </w:p>
        </w:tc>
      </w:tr>
      <w:tr w:rsidR="00895B32" w14:paraId="2B05ADD8" w14:textId="77777777">
        <w:tc>
          <w:tcPr>
            <w:tcW w:w="1545" w:type="dxa"/>
            <w:shd w:val="clear" w:color="auto" w:fill="auto"/>
            <w:tcMar>
              <w:top w:w="100" w:type="dxa"/>
              <w:left w:w="100" w:type="dxa"/>
              <w:bottom w:w="100" w:type="dxa"/>
              <w:right w:w="100" w:type="dxa"/>
            </w:tcMar>
          </w:tcPr>
          <w:p w14:paraId="1E4CE9F2" w14:textId="77777777" w:rsidR="00895B32" w:rsidRDefault="00000000">
            <w:pPr>
              <w:jc w:val="center"/>
            </w:pPr>
            <w:r>
              <w:t>NCGENES 2</w:t>
            </w:r>
          </w:p>
        </w:tc>
        <w:tc>
          <w:tcPr>
            <w:tcW w:w="7845" w:type="dxa"/>
            <w:shd w:val="clear" w:color="auto" w:fill="auto"/>
            <w:tcMar>
              <w:top w:w="100" w:type="dxa"/>
              <w:left w:w="100" w:type="dxa"/>
              <w:bottom w:w="100" w:type="dxa"/>
              <w:right w:w="100" w:type="dxa"/>
            </w:tcMar>
          </w:tcPr>
          <w:p w14:paraId="07B7A370" w14:textId="77777777" w:rsidR="00895B32" w:rsidRDefault="00000000">
            <w:pPr>
              <w:widowControl w:val="0"/>
              <w:spacing w:line="240" w:lineRule="auto"/>
            </w:pPr>
            <w:r>
              <w:t xml:space="preserve">Sequencing quality metrics were reviewed including mean coverage of the targeted exome region (goal &gt;= 80x, minimum &gt;= 50x), percent of targeted region covered at at least 20x (minimum &gt;= 90%, goal &gt;= 95%), and percent of reads mapped (minimum 97%). Correspondence of research/exome sample data to clinical laboratory samples was verified by comparision with Sanger sequencing of the clinical laboratory samples at 8 polymorphic </w:t>
            </w:r>
            <w:r>
              <w:lastRenderedPageBreak/>
              <w:t>markers.</w:t>
            </w:r>
          </w:p>
        </w:tc>
      </w:tr>
      <w:tr w:rsidR="00895B32" w14:paraId="69A22644" w14:textId="77777777">
        <w:tc>
          <w:tcPr>
            <w:tcW w:w="1545" w:type="dxa"/>
            <w:shd w:val="clear" w:color="auto" w:fill="auto"/>
            <w:tcMar>
              <w:top w:w="100" w:type="dxa"/>
              <w:left w:w="100" w:type="dxa"/>
              <w:bottom w:w="100" w:type="dxa"/>
              <w:right w:w="100" w:type="dxa"/>
            </w:tcMar>
          </w:tcPr>
          <w:p w14:paraId="13EB0D1D" w14:textId="77777777" w:rsidR="00895B32" w:rsidRDefault="00000000">
            <w:pPr>
              <w:jc w:val="center"/>
            </w:pPr>
            <w:r>
              <w:lastRenderedPageBreak/>
              <w:t>NYCKidSeq/</w:t>
            </w:r>
          </w:p>
          <w:p w14:paraId="3B62DC9D" w14:textId="77777777" w:rsidR="00895B32" w:rsidRDefault="00000000">
            <w:pPr>
              <w:jc w:val="center"/>
            </w:pPr>
            <w:r>
              <w:t>TeleKidSeq</w:t>
            </w:r>
          </w:p>
        </w:tc>
        <w:tc>
          <w:tcPr>
            <w:tcW w:w="7845" w:type="dxa"/>
            <w:shd w:val="clear" w:color="auto" w:fill="auto"/>
            <w:tcMar>
              <w:top w:w="100" w:type="dxa"/>
              <w:left w:w="100" w:type="dxa"/>
              <w:bottom w:w="100" w:type="dxa"/>
              <w:right w:w="100" w:type="dxa"/>
            </w:tcMar>
          </w:tcPr>
          <w:p w14:paraId="5AB64D06" w14:textId="77777777" w:rsidR="00895B32" w:rsidRDefault="00000000">
            <w:pPr>
              <w:widowControl w:val="0"/>
              <w:spacing w:line="240" w:lineRule="auto"/>
            </w:pPr>
            <w:r>
              <w:t xml:space="preserve">Sequencing was performed at two clinical laboratories and their quality metrics are included here.  </w:t>
            </w:r>
          </w:p>
          <w:p w14:paraId="1EB5BECA" w14:textId="77777777" w:rsidR="00895B32" w:rsidRDefault="00895B32">
            <w:pPr>
              <w:widowControl w:val="0"/>
              <w:spacing w:line="240" w:lineRule="auto"/>
            </w:pPr>
          </w:p>
          <w:p w14:paraId="3D651C88" w14:textId="77777777" w:rsidR="00895B32" w:rsidRDefault="00000000">
            <w:pPr>
              <w:widowControl w:val="0"/>
              <w:spacing w:line="240" w:lineRule="auto"/>
              <w:rPr>
                <w:sz w:val="23"/>
                <w:szCs w:val="23"/>
              </w:rPr>
            </w:pPr>
            <w:r>
              <w:t xml:space="preserve">New York Genome Center (n=972): </w:t>
            </w:r>
            <w:r>
              <w:rPr>
                <w:rFonts w:ascii="Roboto" w:eastAsia="Roboto" w:hAnsi="Roboto" w:cs="Roboto"/>
                <w:sz w:val="23"/>
                <w:szCs w:val="23"/>
                <w:highlight w:val="white"/>
              </w:rPr>
              <w:t>Sequence quality metrics that were reviewed and used as criteria for passing include m</w:t>
            </w:r>
            <w:r>
              <w:rPr>
                <w:sz w:val="23"/>
                <w:szCs w:val="23"/>
              </w:rPr>
              <w:t>ean genome coverage (&gt;= 27x), percentage of bases achieving at least 20x coverage ( &gt;= 85%), AT and GC dropout rates (&lt; 5 for both), duplication rate (&lt; 20%), base quality score (75% bases above Q30). To ensure sample identity, array-sequencing genotype concordance (&gt; 99%), and cross-sample contamination (&lt; 2%) were also measured. Manual review and corrective actions for any failed metric.</w:t>
            </w:r>
          </w:p>
          <w:p w14:paraId="6B045C61" w14:textId="77777777" w:rsidR="00895B32" w:rsidRDefault="00895B32">
            <w:pPr>
              <w:widowControl w:val="0"/>
              <w:spacing w:line="240" w:lineRule="auto"/>
              <w:rPr>
                <w:sz w:val="23"/>
                <w:szCs w:val="23"/>
              </w:rPr>
            </w:pPr>
          </w:p>
          <w:p w14:paraId="2158E050" w14:textId="77777777" w:rsidR="00895B32" w:rsidRDefault="00000000">
            <w:pPr>
              <w:widowControl w:val="0"/>
              <w:spacing w:line="240" w:lineRule="auto"/>
              <w:rPr>
                <w:i/>
              </w:rPr>
            </w:pPr>
            <w:r>
              <w:rPr>
                <w:sz w:val="23"/>
                <w:szCs w:val="23"/>
              </w:rPr>
              <w:t xml:space="preserve">Rady Children’s Institute Genomic Medicine (n=80): </w:t>
            </w:r>
            <w:r>
              <w:rPr>
                <w:i/>
              </w:rPr>
              <w:t xml:space="preserve">to be completed. </w:t>
            </w:r>
          </w:p>
        </w:tc>
      </w:tr>
      <w:tr w:rsidR="00895B32" w14:paraId="5ABF4E5F" w14:textId="77777777">
        <w:tc>
          <w:tcPr>
            <w:tcW w:w="1545" w:type="dxa"/>
            <w:shd w:val="clear" w:color="auto" w:fill="auto"/>
            <w:tcMar>
              <w:top w:w="100" w:type="dxa"/>
              <w:left w:w="100" w:type="dxa"/>
              <w:bottom w:w="100" w:type="dxa"/>
              <w:right w:w="100" w:type="dxa"/>
            </w:tcMar>
          </w:tcPr>
          <w:p w14:paraId="0CA2EA4E" w14:textId="77777777" w:rsidR="00895B32" w:rsidRDefault="00000000">
            <w:pPr>
              <w:jc w:val="center"/>
            </w:pPr>
            <w:r>
              <w:t>P3EGS</w:t>
            </w:r>
          </w:p>
        </w:tc>
        <w:tc>
          <w:tcPr>
            <w:tcW w:w="7845" w:type="dxa"/>
            <w:shd w:val="clear" w:color="auto" w:fill="auto"/>
            <w:tcMar>
              <w:top w:w="100" w:type="dxa"/>
              <w:left w:w="100" w:type="dxa"/>
              <w:bottom w:w="100" w:type="dxa"/>
              <w:right w:w="100" w:type="dxa"/>
            </w:tcMar>
          </w:tcPr>
          <w:p w14:paraId="61035F84" w14:textId="77777777" w:rsidR="00895B32" w:rsidRDefault="00000000">
            <w:pPr>
              <w:widowControl w:val="0"/>
              <w:spacing w:line="240" w:lineRule="auto"/>
              <w:rPr>
                <w:highlight w:val="white"/>
              </w:rPr>
            </w:pPr>
            <w:r>
              <w:rPr>
                <w:highlight w:val="white"/>
              </w:rPr>
              <w:t>Sequencing quality metrics at UCSF include mean target coverage of the exome region (goal &gt;= 100x, minimum &gt;= 55x), percent of targeted region covered &gt;10x (minimum &gt;= 90%, goal &gt;= 98%), and percent of reads aligned (minimum 94%). UCSF verified the expected sex (via chr X heterozygous counts in comparison to test requisition form and electronic health records) of all samples and expected relatedness among all families.  Sample contamination was assessed by FreeMix.</w:t>
            </w:r>
          </w:p>
          <w:p w14:paraId="59743919" w14:textId="77777777" w:rsidR="00895B32" w:rsidRDefault="00895B32">
            <w:pPr>
              <w:widowControl w:val="0"/>
              <w:spacing w:line="240" w:lineRule="auto"/>
            </w:pPr>
          </w:p>
        </w:tc>
      </w:tr>
      <w:tr w:rsidR="00895B32" w14:paraId="6E180280" w14:textId="77777777">
        <w:tc>
          <w:tcPr>
            <w:tcW w:w="1545" w:type="dxa"/>
            <w:shd w:val="clear" w:color="auto" w:fill="auto"/>
            <w:tcMar>
              <w:top w:w="100" w:type="dxa"/>
              <w:left w:w="100" w:type="dxa"/>
              <w:bottom w:w="100" w:type="dxa"/>
              <w:right w:w="100" w:type="dxa"/>
            </w:tcMar>
          </w:tcPr>
          <w:p w14:paraId="782E67A1" w14:textId="77777777" w:rsidR="00895B32" w:rsidRDefault="00000000">
            <w:pPr>
              <w:jc w:val="center"/>
            </w:pPr>
            <w:r>
              <w:t>SouthSeq</w:t>
            </w:r>
          </w:p>
        </w:tc>
        <w:tc>
          <w:tcPr>
            <w:tcW w:w="7845" w:type="dxa"/>
            <w:shd w:val="clear" w:color="auto" w:fill="auto"/>
            <w:tcMar>
              <w:top w:w="100" w:type="dxa"/>
              <w:left w:w="100" w:type="dxa"/>
              <w:bottom w:w="100" w:type="dxa"/>
              <w:right w:w="100" w:type="dxa"/>
            </w:tcMar>
          </w:tcPr>
          <w:p w14:paraId="274A7284" w14:textId="77777777" w:rsidR="00895B32" w:rsidRDefault="00000000">
            <w:pPr>
              <w:widowControl w:val="0"/>
              <w:spacing w:line="240" w:lineRule="auto"/>
            </w:pPr>
            <w:r>
              <w:t>Sequencing QC was performed by the HudsonAlpha CSL prior to release of data to SouthSeq investigators. SouthSeq required mean coverage &gt;= 30x and the percentage of bases in the human genome covered at &gt;= 20x to be at least 80%. Current CSL processes also monitor numerous metrics including percentage of reads &gt;= Q30, Qscore, and % aligned reads as part of their SOP for sequence acceptance. SouthSeq investigators verified expected sex (via chrX heterozygous counts in comparison to sample order forms and clinical records) of all samples and expected relatedness among all families (via KING or somalier software). Before upload to AnVIL, all samples were re-aligned to hg38 using the latest CSL pipeline, including generation of a PDF report with detailed sequencing and alignment metrics (including Reads, duplications, and pass rates; bases, adapters rates and Q scores; read groups, alignments, insert size, aligned/duplicate/discordant mappings, and coverage).</w:t>
            </w:r>
          </w:p>
        </w:tc>
      </w:tr>
    </w:tbl>
    <w:p w14:paraId="2A24CC75" w14:textId="77777777" w:rsidR="00895B32" w:rsidRDefault="00000000">
      <w:pPr>
        <w:pStyle w:val="Heading1"/>
      </w:pPr>
      <w:bookmarkStart w:id="30" w:name="_ubl23e41w5y6" w:colFirst="0" w:colLast="0"/>
      <w:bookmarkEnd w:id="30"/>
      <w:r>
        <w:t>Phenotype Data</w:t>
      </w:r>
    </w:p>
    <w:p w14:paraId="60C463F7" w14:textId="77777777" w:rsidR="00895B32" w:rsidRDefault="00000000">
      <w:pPr>
        <w:pStyle w:val="Heading2"/>
      </w:pPr>
      <w:bookmarkStart w:id="31" w:name="_cuf5mcc5xqyc" w:colFirst="0" w:colLast="0"/>
      <w:bookmarkEnd w:id="31"/>
      <w:r>
        <w:t>HPO Terms</w:t>
      </w:r>
    </w:p>
    <w:p w14:paraId="693BF529" w14:textId="77777777" w:rsidR="00895B32" w:rsidRDefault="00000000">
      <w:r>
        <w:t xml:space="preserve">Some CSER sites provided HPO terms (present and/or absent) in addition to the broad phenotype groups reported in the Sequencing Metrics. These terms can be found in the </w:t>
      </w:r>
      <w:r>
        <w:rPr>
          <w:b/>
        </w:rPr>
        <w:t>hpo_absent</w:t>
      </w:r>
      <w:r>
        <w:t xml:space="preserve"> and </w:t>
      </w:r>
      <w:r>
        <w:rPr>
          <w:b/>
        </w:rPr>
        <w:t>hpo_present</w:t>
      </w:r>
      <w:r>
        <w:t xml:space="preserve"> fields in the Subject metadata table in each AnVIL workspace. </w:t>
      </w:r>
      <w:r>
        <w:lastRenderedPageBreak/>
        <w:t>Please see below for details on whether each site provided HPO terms, and if so, how they were collected and reported:</w:t>
      </w:r>
    </w:p>
    <w:p w14:paraId="3C391E74" w14:textId="77777777" w:rsidR="00895B32" w:rsidRDefault="00895B32"/>
    <w:tbl>
      <w:tblPr>
        <w:tblStyle w:val="a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3420"/>
        <w:gridCol w:w="4140"/>
      </w:tblGrid>
      <w:tr w:rsidR="00895B32" w14:paraId="4CDD8857" w14:textId="77777777">
        <w:tc>
          <w:tcPr>
            <w:tcW w:w="1815" w:type="dxa"/>
            <w:shd w:val="clear" w:color="auto" w:fill="auto"/>
            <w:tcMar>
              <w:top w:w="100" w:type="dxa"/>
              <w:left w:w="100" w:type="dxa"/>
              <w:bottom w:w="100" w:type="dxa"/>
              <w:right w:w="100" w:type="dxa"/>
            </w:tcMar>
          </w:tcPr>
          <w:p w14:paraId="76522BF1" w14:textId="77777777" w:rsidR="00895B32" w:rsidRDefault="00000000">
            <w:pPr>
              <w:widowControl w:val="0"/>
              <w:spacing w:line="240" w:lineRule="auto"/>
              <w:jc w:val="center"/>
              <w:rPr>
                <w:b/>
              </w:rPr>
            </w:pPr>
            <w:r>
              <w:rPr>
                <w:b/>
              </w:rPr>
              <w:t>Study</w:t>
            </w:r>
          </w:p>
        </w:tc>
        <w:tc>
          <w:tcPr>
            <w:tcW w:w="3420" w:type="dxa"/>
            <w:shd w:val="clear" w:color="auto" w:fill="auto"/>
            <w:tcMar>
              <w:top w:w="100" w:type="dxa"/>
              <w:left w:w="100" w:type="dxa"/>
              <w:bottom w:w="100" w:type="dxa"/>
              <w:right w:w="100" w:type="dxa"/>
            </w:tcMar>
          </w:tcPr>
          <w:p w14:paraId="496CBAA8" w14:textId="77777777" w:rsidR="00895B32" w:rsidRDefault="00000000">
            <w:pPr>
              <w:widowControl w:val="0"/>
              <w:spacing w:line="240" w:lineRule="auto"/>
              <w:jc w:val="center"/>
              <w:rPr>
                <w:b/>
              </w:rPr>
            </w:pPr>
            <w:r>
              <w:rPr>
                <w:b/>
              </w:rPr>
              <w:t>Provided HPO terms?</w:t>
            </w:r>
          </w:p>
        </w:tc>
        <w:tc>
          <w:tcPr>
            <w:tcW w:w="4140" w:type="dxa"/>
            <w:shd w:val="clear" w:color="auto" w:fill="auto"/>
            <w:tcMar>
              <w:top w:w="100" w:type="dxa"/>
              <w:left w:w="100" w:type="dxa"/>
              <w:bottom w:w="100" w:type="dxa"/>
              <w:right w:w="100" w:type="dxa"/>
            </w:tcMar>
          </w:tcPr>
          <w:p w14:paraId="6B418D7B" w14:textId="77777777" w:rsidR="00895B32" w:rsidRDefault="00000000">
            <w:pPr>
              <w:widowControl w:val="0"/>
              <w:spacing w:line="240" w:lineRule="auto"/>
              <w:jc w:val="center"/>
              <w:rPr>
                <w:b/>
              </w:rPr>
            </w:pPr>
            <w:r>
              <w:rPr>
                <w:b/>
              </w:rPr>
              <w:t>Collection and Reporting Procedures (if HPO provided)</w:t>
            </w:r>
          </w:p>
        </w:tc>
      </w:tr>
      <w:tr w:rsidR="00895B32" w14:paraId="65CD2614" w14:textId="77777777">
        <w:tc>
          <w:tcPr>
            <w:tcW w:w="1815" w:type="dxa"/>
            <w:shd w:val="clear" w:color="auto" w:fill="auto"/>
            <w:tcMar>
              <w:top w:w="100" w:type="dxa"/>
              <w:left w:w="100" w:type="dxa"/>
              <w:bottom w:w="100" w:type="dxa"/>
              <w:right w:w="100" w:type="dxa"/>
            </w:tcMar>
          </w:tcPr>
          <w:p w14:paraId="69C457BB" w14:textId="77777777" w:rsidR="00895B32" w:rsidRDefault="00000000">
            <w:pPr>
              <w:jc w:val="center"/>
            </w:pPr>
            <w:r>
              <w:t>CHARM</w:t>
            </w:r>
          </w:p>
        </w:tc>
        <w:tc>
          <w:tcPr>
            <w:tcW w:w="3420" w:type="dxa"/>
            <w:shd w:val="clear" w:color="auto" w:fill="auto"/>
            <w:tcMar>
              <w:top w:w="100" w:type="dxa"/>
              <w:left w:w="100" w:type="dxa"/>
              <w:bottom w:w="100" w:type="dxa"/>
              <w:right w:w="100" w:type="dxa"/>
            </w:tcMar>
          </w:tcPr>
          <w:p w14:paraId="2C6690E1" w14:textId="77777777" w:rsidR="00895B32" w:rsidRDefault="00000000">
            <w:pPr>
              <w:widowControl w:val="0"/>
              <w:spacing w:line="240" w:lineRule="auto"/>
            </w:pPr>
            <w:r>
              <w:t>Not provided</w:t>
            </w:r>
          </w:p>
        </w:tc>
        <w:tc>
          <w:tcPr>
            <w:tcW w:w="4140" w:type="dxa"/>
            <w:shd w:val="clear" w:color="auto" w:fill="auto"/>
            <w:tcMar>
              <w:top w:w="100" w:type="dxa"/>
              <w:left w:w="100" w:type="dxa"/>
              <w:bottom w:w="100" w:type="dxa"/>
              <w:right w:w="100" w:type="dxa"/>
            </w:tcMar>
          </w:tcPr>
          <w:p w14:paraId="75D0C973" w14:textId="77777777" w:rsidR="00895B32" w:rsidRDefault="00000000">
            <w:pPr>
              <w:widowControl w:val="0"/>
              <w:spacing w:line="240" w:lineRule="auto"/>
            </w:pPr>
            <w:r>
              <w:t>NA</w:t>
            </w:r>
          </w:p>
        </w:tc>
      </w:tr>
      <w:tr w:rsidR="00895B32" w14:paraId="2B5D5326" w14:textId="77777777">
        <w:trPr>
          <w:trHeight w:val="512"/>
        </w:trPr>
        <w:tc>
          <w:tcPr>
            <w:tcW w:w="1815" w:type="dxa"/>
            <w:shd w:val="clear" w:color="auto" w:fill="auto"/>
            <w:tcMar>
              <w:top w:w="100" w:type="dxa"/>
              <w:left w:w="100" w:type="dxa"/>
              <w:bottom w:w="100" w:type="dxa"/>
              <w:right w:w="100" w:type="dxa"/>
            </w:tcMar>
          </w:tcPr>
          <w:p w14:paraId="0A3ABD49" w14:textId="77777777" w:rsidR="00895B32" w:rsidRDefault="00000000">
            <w:pPr>
              <w:jc w:val="center"/>
            </w:pPr>
            <w:r>
              <w:t>ClinSeq</w:t>
            </w:r>
          </w:p>
        </w:tc>
        <w:tc>
          <w:tcPr>
            <w:tcW w:w="3420" w:type="dxa"/>
            <w:shd w:val="clear" w:color="auto" w:fill="auto"/>
            <w:tcMar>
              <w:top w:w="100" w:type="dxa"/>
              <w:left w:w="100" w:type="dxa"/>
              <w:bottom w:w="100" w:type="dxa"/>
              <w:right w:w="100" w:type="dxa"/>
            </w:tcMar>
          </w:tcPr>
          <w:p w14:paraId="0A7C6234" w14:textId="77777777" w:rsidR="00895B32" w:rsidRDefault="00000000">
            <w:pPr>
              <w:widowControl w:val="0"/>
              <w:shd w:val="clear" w:color="auto" w:fill="FFFFFF"/>
              <w:spacing w:before="400" w:after="400" w:line="240" w:lineRule="auto"/>
            </w:pPr>
            <w:r>
              <w:t>Not provided</w:t>
            </w:r>
          </w:p>
        </w:tc>
        <w:tc>
          <w:tcPr>
            <w:tcW w:w="4140" w:type="dxa"/>
            <w:shd w:val="clear" w:color="auto" w:fill="auto"/>
            <w:tcMar>
              <w:top w:w="100" w:type="dxa"/>
              <w:left w:w="100" w:type="dxa"/>
              <w:bottom w:w="100" w:type="dxa"/>
              <w:right w:w="100" w:type="dxa"/>
            </w:tcMar>
          </w:tcPr>
          <w:p w14:paraId="60D01FB5" w14:textId="77777777" w:rsidR="00895B32" w:rsidRDefault="00000000">
            <w:pPr>
              <w:widowControl w:val="0"/>
              <w:shd w:val="clear" w:color="auto" w:fill="FFFFFF"/>
              <w:spacing w:before="400" w:after="400" w:line="240" w:lineRule="auto"/>
            </w:pPr>
            <w:r>
              <w:t>NA</w:t>
            </w:r>
          </w:p>
        </w:tc>
      </w:tr>
      <w:tr w:rsidR="00895B32" w14:paraId="74F128DB" w14:textId="77777777">
        <w:tc>
          <w:tcPr>
            <w:tcW w:w="1815" w:type="dxa"/>
            <w:shd w:val="clear" w:color="auto" w:fill="auto"/>
            <w:tcMar>
              <w:top w:w="100" w:type="dxa"/>
              <w:left w:w="100" w:type="dxa"/>
              <w:bottom w:w="100" w:type="dxa"/>
              <w:right w:w="100" w:type="dxa"/>
            </w:tcMar>
          </w:tcPr>
          <w:p w14:paraId="364B9DF7" w14:textId="77777777" w:rsidR="00895B32" w:rsidRDefault="00000000">
            <w:pPr>
              <w:jc w:val="center"/>
            </w:pPr>
            <w:r>
              <w:t>KidsCanSeq</w:t>
            </w:r>
          </w:p>
        </w:tc>
        <w:tc>
          <w:tcPr>
            <w:tcW w:w="3420" w:type="dxa"/>
            <w:shd w:val="clear" w:color="auto" w:fill="auto"/>
            <w:tcMar>
              <w:top w:w="100" w:type="dxa"/>
              <w:left w:w="100" w:type="dxa"/>
              <w:bottom w:w="100" w:type="dxa"/>
              <w:right w:w="100" w:type="dxa"/>
            </w:tcMar>
          </w:tcPr>
          <w:p w14:paraId="0DF7D950" w14:textId="77777777" w:rsidR="00895B32" w:rsidRDefault="00000000">
            <w:pPr>
              <w:widowControl w:val="0"/>
              <w:spacing w:line="240" w:lineRule="auto"/>
            </w:pPr>
            <w:r>
              <w:t>Provided</w:t>
            </w:r>
          </w:p>
        </w:tc>
        <w:tc>
          <w:tcPr>
            <w:tcW w:w="4140" w:type="dxa"/>
            <w:shd w:val="clear" w:color="auto" w:fill="auto"/>
            <w:tcMar>
              <w:top w:w="100" w:type="dxa"/>
              <w:left w:w="100" w:type="dxa"/>
              <w:bottom w:w="100" w:type="dxa"/>
              <w:right w:w="100" w:type="dxa"/>
            </w:tcMar>
          </w:tcPr>
          <w:p w14:paraId="78587799" w14:textId="77777777" w:rsidR="00895B32" w:rsidRDefault="00000000">
            <w:pPr>
              <w:widowControl w:val="0"/>
              <w:spacing w:line="240" w:lineRule="auto"/>
            </w:pPr>
            <w:r>
              <w:t>As part of the KidsCanSeq protocol the genetic counselor or coordinator at each site reviewed the medical record to complete the germline exome requisition form for the pediatric cancer patients enrolled in the study. The form includes questions about the patient’s cancer diagnosis and other phenotypes using HPO terms for major organ systems.  Based on information available in the medical record, HPO terms were added to the requisition form, submitted with the sample for testing, recorded in our study database and transmitted to the CSER DCC/ANViL. Three notes, (1) HPO descriptors were not used to describe the patient’s cancer diagnosis (Orphanet IDs were provided for that) or medical problems that appeared to be directly related to cancer treatment, e.g., neutropenia. Thus, the majority of KidsCanSeq patients have no HPO terms noted, (2) No attempt was made to record HPO terms that were absent, (3) the GC could also enter free text describing the patient’s phenotype or family history if HPO terms weren’t available but that information was not transmitted to the DCC.</w:t>
            </w:r>
          </w:p>
        </w:tc>
      </w:tr>
      <w:tr w:rsidR="00895B32" w14:paraId="6B26BB34" w14:textId="77777777">
        <w:tc>
          <w:tcPr>
            <w:tcW w:w="1815" w:type="dxa"/>
            <w:shd w:val="clear" w:color="auto" w:fill="auto"/>
            <w:tcMar>
              <w:top w:w="100" w:type="dxa"/>
              <w:left w:w="100" w:type="dxa"/>
              <w:bottom w:w="100" w:type="dxa"/>
              <w:right w:w="100" w:type="dxa"/>
            </w:tcMar>
          </w:tcPr>
          <w:p w14:paraId="62B9588F" w14:textId="77777777" w:rsidR="00895B32" w:rsidRDefault="00000000">
            <w:pPr>
              <w:jc w:val="center"/>
            </w:pPr>
            <w:r>
              <w:t>NCGENES 2</w:t>
            </w:r>
          </w:p>
        </w:tc>
        <w:tc>
          <w:tcPr>
            <w:tcW w:w="3420" w:type="dxa"/>
            <w:shd w:val="clear" w:color="auto" w:fill="auto"/>
            <w:tcMar>
              <w:top w:w="100" w:type="dxa"/>
              <w:left w:w="100" w:type="dxa"/>
              <w:bottom w:w="100" w:type="dxa"/>
              <w:right w:w="100" w:type="dxa"/>
            </w:tcMar>
          </w:tcPr>
          <w:p w14:paraId="7B8761A7" w14:textId="77777777" w:rsidR="00895B32" w:rsidRDefault="00000000">
            <w:pPr>
              <w:widowControl w:val="0"/>
              <w:spacing w:line="240" w:lineRule="auto"/>
            </w:pPr>
            <w:r>
              <w:t>Provided</w:t>
            </w:r>
          </w:p>
        </w:tc>
        <w:tc>
          <w:tcPr>
            <w:tcW w:w="4140" w:type="dxa"/>
            <w:shd w:val="clear" w:color="auto" w:fill="auto"/>
            <w:tcMar>
              <w:top w:w="100" w:type="dxa"/>
              <w:left w:w="100" w:type="dxa"/>
              <w:bottom w:w="100" w:type="dxa"/>
              <w:right w:w="100" w:type="dxa"/>
            </w:tcMar>
          </w:tcPr>
          <w:p w14:paraId="13BA3F9A" w14:textId="77777777" w:rsidR="00895B32" w:rsidRDefault="00000000">
            <w:pPr>
              <w:widowControl w:val="0"/>
              <w:spacing w:line="240" w:lineRule="auto"/>
            </w:pPr>
            <w:r>
              <w:t>HPO information was entered by the enrolling clinician (or study clinical geneticist reviewing the clinic note from initial visit) directly into a locally-hosted instance of Phenotips.</w:t>
            </w:r>
          </w:p>
        </w:tc>
      </w:tr>
      <w:tr w:rsidR="00895B32" w14:paraId="16CA3671" w14:textId="77777777">
        <w:tc>
          <w:tcPr>
            <w:tcW w:w="1815" w:type="dxa"/>
            <w:shd w:val="clear" w:color="auto" w:fill="auto"/>
            <w:tcMar>
              <w:top w:w="100" w:type="dxa"/>
              <w:left w:w="100" w:type="dxa"/>
              <w:bottom w:w="100" w:type="dxa"/>
              <w:right w:w="100" w:type="dxa"/>
            </w:tcMar>
          </w:tcPr>
          <w:p w14:paraId="47E8A5F0" w14:textId="77777777" w:rsidR="00895B32" w:rsidRDefault="00000000">
            <w:pPr>
              <w:jc w:val="center"/>
            </w:pPr>
            <w:r>
              <w:lastRenderedPageBreak/>
              <w:t>NYCKidSeq/</w:t>
            </w:r>
          </w:p>
          <w:p w14:paraId="4332BF54" w14:textId="77777777" w:rsidR="00895B32" w:rsidRDefault="00000000">
            <w:pPr>
              <w:jc w:val="center"/>
            </w:pPr>
            <w:r>
              <w:t>TeleKidSeq</w:t>
            </w:r>
          </w:p>
        </w:tc>
        <w:tc>
          <w:tcPr>
            <w:tcW w:w="3420" w:type="dxa"/>
            <w:shd w:val="clear" w:color="auto" w:fill="auto"/>
            <w:tcMar>
              <w:top w:w="100" w:type="dxa"/>
              <w:left w:w="100" w:type="dxa"/>
              <w:bottom w:w="100" w:type="dxa"/>
              <w:right w:w="100" w:type="dxa"/>
            </w:tcMar>
          </w:tcPr>
          <w:p w14:paraId="0CE2DCE0" w14:textId="77777777" w:rsidR="00895B32" w:rsidRDefault="00000000">
            <w:pPr>
              <w:widowControl w:val="0"/>
              <w:spacing w:line="240" w:lineRule="auto"/>
              <w:rPr>
                <w:i/>
              </w:rPr>
            </w:pPr>
            <w:r>
              <w:t>Provided</w:t>
            </w:r>
          </w:p>
        </w:tc>
        <w:tc>
          <w:tcPr>
            <w:tcW w:w="4140" w:type="dxa"/>
            <w:shd w:val="clear" w:color="auto" w:fill="auto"/>
            <w:tcMar>
              <w:top w:w="100" w:type="dxa"/>
              <w:left w:w="100" w:type="dxa"/>
              <w:bottom w:w="100" w:type="dxa"/>
              <w:right w:w="100" w:type="dxa"/>
            </w:tcMar>
          </w:tcPr>
          <w:p w14:paraId="76402B4E" w14:textId="77777777" w:rsidR="00895B32" w:rsidRDefault="00000000">
            <w:pPr>
              <w:widowControl w:val="0"/>
              <w:spacing w:line="240" w:lineRule="auto"/>
            </w:pPr>
            <w:r>
              <w:rPr>
                <w:highlight w:val="white"/>
              </w:rPr>
              <w:t>The NYCKidSeq project provided HPO terms on a subset of cases that were sequenced via the RADY lab. As per the RADY lab: Phenotypic information from the affected children receiving WGS was utilized to derive associated Human Phenotype Ontology terms through a comprehensive review of the of the clinical notes provided to the laboratory. The HPO terms were used to prioritize and analyze WGS data by qualified genome analysts and licensed genetic counselors. Cases are reviewed and signed out as a clinical WGS report by certified and licensed laboratory directors.</w:t>
            </w:r>
          </w:p>
        </w:tc>
      </w:tr>
      <w:tr w:rsidR="00895B32" w14:paraId="00BF78FC" w14:textId="77777777">
        <w:tc>
          <w:tcPr>
            <w:tcW w:w="1815" w:type="dxa"/>
            <w:shd w:val="clear" w:color="auto" w:fill="auto"/>
            <w:tcMar>
              <w:top w:w="100" w:type="dxa"/>
              <w:left w:w="100" w:type="dxa"/>
              <w:bottom w:w="100" w:type="dxa"/>
              <w:right w:w="100" w:type="dxa"/>
            </w:tcMar>
          </w:tcPr>
          <w:p w14:paraId="66973E20" w14:textId="77777777" w:rsidR="00895B32" w:rsidRDefault="00000000">
            <w:pPr>
              <w:jc w:val="center"/>
            </w:pPr>
            <w:r>
              <w:t>P3EGS</w:t>
            </w:r>
          </w:p>
        </w:tc>
        <w:tc>
          <w:tcPr>
            <w:tcW w:w="3420" w:type="dxa"/>
            <w:shd w:val="clear" w:color="auto" w:fill="auto"/>
            <w:tcMar>
              <w:top w:w="100" w:type="dxa"/>
              <w:left w:w="100" w:type="dxa"/>
              <w:bottom w:w="100" w:type="dxa"/>
              <w:right w:w="100" w:type="dxa"/>
            </w:tcMar>
          </w:tcPr>
          <w:p w14:paraId="533750DA" w14:textId="77777777" w:rsidR="00895B32" w:rsidRDefault="00000000">
            <w:pPr>
              <w:widowControl w:val="0"/>
              <w:spacing w:line="240" w:lineRule="auto"/>
            </w:pPr>
            <w:r>
              <w:t>Provided</w:t>
            </w:r>
          </w:p>
        </w:tc>
        <w:tc>
          <w:tcPr>
            <w:tcW w:w="4140" w:type="dxa"/>
            <w:shd w:val="clear" w:color="auto" w:fill="auto"/>
            <w:tcMar>
              <w:top w:w="100" w:type="dxa"/>
              <w:left w:w="100" w:type="dxa"/>
              <w:bottom w:w="100" w:type="dxa"/>
              <w:right w:w="100" w:type="dxa"/>
            </w:tcMar>
          </w:tcPr>
          <w:p w14:paraId="0C25A55F" w14:textId="77777777" w:rsidR="00895B32" w:rsidRDefault="00000000">
            <w:pPr>
              <w:widowControl w:val="0"/>
              <w:spacing w:line="240" w:lineRule="auto"/>
            </w:pPr>
            <w:r>
              <w:t>HPO data was generated using the</w:t>
            </w:r>
          </w:p>
          <w:p w14:paraId="1B45EFC0" w14:textId="77777777" w:rsidR="00895B32" w:rsidRDefault="00000000">
            <w:pPr>
              <w:widowControl w:val="0"/>
              <w:spacing w:line="240" w:lineRule="auto"/>
            </w:pPr>
            <w:r>
              <w:t>ClinPhen NLP program to extract HPO terms from case notes recorded</w:t>
            </w:r>
          </w:p>
          <w:p w14:paraId="650B621A" w14:textId="77777777" w:rsidR="00895B32" w:rsidRDefault="00000000">
            <w:pPr>
              <w:widowControl w:val="0"/>
              <w:spacing w:line="240" w:lineRule="auto"/>
            </w:pPr>
            <w:r>
              <w:t>before the diagnosis was made. Textract was used to extract text from PDF notes, then the text was processed by ClinPhen to produce a list of HPO terms, which were then formatted for the subject table. Our ClinPhen run used the HPO.obo version releases/2018-12-21.</w:t>
            </w:r>
          </w:p>
        </w:tc>
      </w:tr>
      <w:tr w:rsidR="00895B32" w14:paraId="54943B98" w14:textId="77777777">
        <w:tc>
          <w:tcPr>
            <w:tcW w:w="1815" w:type="dxa"/>
            <w:shd w:val="clear" w:color="auto" w:fill="auto"/>
            <w:tcMar>
              <w:top w:w="100" w:type="dxa"/>
              <w:left w:w="100" w:type="dxa"/>
              <w:bottom w:w="100" w:type="dxa"/>
              <w:right w:w="100" w:type="dxa"/>
            </w:tcMar>
          </w:tcPr>
          <w:p w14:paraId="4C91007C" w14:textId="77777777" w:rsidR="00895B32" w:rsidRDefault="00000000">
            <w:pPr>
              <w:jc w:val="center"/>
            </w:pPr>
            <w:r>
              <w:t>SouthSeq</w:t>
            </w:r>
          </w:p>
        </w:tc>
        <w:tc>
          <w:tcPr>
            <w:tcW w:w="3420" w:type="dxa"/>
            <w:shd w:val="clear" w:color="auto" w:fill="auto"/>
            <w:tcMar>
              <w:top w:w="100" w:type="dxa"/>
              <w:left w:w="100" w:type="dxa"/>
              <w:bottom w:w="100" w:type="dxa"/>
              <w:right w:w="100" w:type="dxa"/>
            </w:tcMar>
          </w:tcPr>
          <w:p w14:paraId="71CC83F0" w14:textId="77777777" w:rsidR="00895B32" w:rsidRDefault="00000000">
            <w:pPr>
              <w:widowControl w:val="0"/>
              <w:spacing w:line="240" w:lineRule="auto"/>
            </w:pPr>
            <w:r>
              <w:t>Provided</w:t>
            </w:r>
          </w:p>
        </w:tc>
        <w:tc>
          <w:tcPr>
            <w:tcW w:w="4140" w:type="dxa"/>
            <w:shd w:val="clear" w:color="auto" w:fill="auto"/>
            <w:tcMar>
              <w:top w:w="100" w:type="dxa"/>
              <w:left w:w="100" w:type="dxa"/>
              <w:bottom w:w="100" w:type="dxa"/>
              <w:right w:w="100" w:type="dxa"/>
            </w:tcMar>
          </w:tcPr>
          <w:p w14:paraId="4DEE9342" w14:textId="77777777" w:rsidR="00895B32" w:rsidRDefault="00000000">
            <w:pPr>
              <w:widowControl w:val="0"/>
              <w:spacing w:line="240" w:lineRule="auto"/>
            </w:pPr>
            <w:r>
              <w:t xml:space="preserve">SouthSeq curated a list of potential HPO terms and included them on a phenotyping survey administered to the site enrollment staff (research nurses or genetic counselors). HPO terms and codes were presented on the phenotype survey as select-multiple checkboxes and organized by body system. Phenotypes were primarily collected at the time of enrollment and often were updated throughout the period between enrollment and ROR based on the emergence of additional relevant phenotypes and site staff capacity. HudsonAlpha analysts reviewed free text fields from the phenotyping survey and generated a list of common findings and their associated HPO terms and additional HPO terms were generated based on simple text-matching against the phenotyping survey free-text fields. </w:t>
            </w:r>
            <w:r>
              <w:lastRenderedPageBreak/>
              <w:t>The free-text matching was likely subject to omissions due to formatting, spelling, and varying use of multiple free-text fields.</w:t>
            </w:r>
          </w:p>
        </w:tc>
      </w:tr>
    </w:tbl>
    <w:p w14:paraId="55BF1048" w14:textId="77777777" w:rsidR="00895B32" w:rsidRDefault="00895B32">
      <w:pPr>
        <w:ind w:right="600"/>
      </w:pPr>
    </w:p>
    <w:p w14:paraId="1DE080BC" w14:textId="77777777" w:rsidR="00895B32" w:rsidRDefault="00895B32">
      <w:pPr>
        <w:ind w:right="600"/>
      </w:pPr>
    </w:p>
    <w:p w14:paraId="48B77953" w14:textId="77777777" w:rsidR="00895B32" w:rsidRDefault="00000000">
      <w:pPr>
        <w:pStyle w:val="Heading1"/>
      </w:pPr>
      <w:bookmarkStart w:id="32" w:name="_g6fshbww886y" w:colFirst="0" w:colLast="0"/>
      <w:bookmarkEnd w:id="32"/>
      <w:r>
        <w:t>Calculated Fields</w:t>
      </w:r>
    </w:p>
    <w:p w14:paraId="41B63480" w14:textId="77777777" w:rsidR="00895B32" w:rsidRDefault="00000000">
      <w:pPr>
        <w:pStyle w:val="Heading2"/>
      </w:pPr>
      <w:bookmarkStart w:id="33" w:name="_y4rx2729fm71" w:colFirst="0" w:colLast="0"/>
      <w:bookmarkEnd w:id="33"/>
      <w:r>
        <w:t>Underserved Framework</w:t>
      </w:r>
    </w:p>
    <w:p w14:paraId="0608FA0E" w14:textId="77777777" w:rsidR="00895B32" w:rsidRDefault="00895B32"/>
    <w:p w14:paraId="216D9F9D" w14:textId="77777777" w:rsidR="00895B32" w:rsidRDefault="00000000">
      <w:r>
        <w:t>The CSER ELSI &amp; Diversity WG is currently developing a manuscript that will describe the Underserved Framework 2.0 in detail, and can be used to reference the framework in future CSER publications. In the meantime, the Underserved Framework can be referenced in CSER publications using the following (or similar) phrasing:</w:t>
      </w:r>
    </w:p>
    <w:p w14:paraId="05910A2D" w14:textId="77777777" w:rsidR="00895B32" w:rsidRDefault="00895B32"/>
    <w:p w14:paraId="28402668" w14:textId="77777777" w:rsidR="00895B32" w:rsidRDefault="00000000">
      <w:pPr>
        <w:rPr>
          <w:i/>
        </w:rPr>
      </w:pPr>
      <w:r>
        <w:rPr>
          <w:i/>
        </w:rPr>
        <w:t>The Underserved Framework 2.0 employs different combinations of demographic factors (including language, income, insurance status, residence, race and ethnicity) to form 9 distinct risk groups, each of which reflects direct barriers to medical care access and/or contextual factors that may exacerbate barriers to access. The framework was not developed to be a reflection of how participants were recruited into each CSER study, but rather to offer guidance on the implementation of variable “underserved” criteria in clinical research.</w:t>
      </w:r>
    </w:p>
    <w:p w14:paraId="400E3740" w14:textId="77777777" w:rsidR="00895B32" w:rsidRDefault="00895B32">
      <w:pPr>
        <w:rPr>
          <w:i/>
        </w:rPr>
      </w:pPr>
    </w:p>
    <w:p w14:paraId="7C6A796C" w14:textId="77777777" w:rsidR="00895B32" w:rsidRDefault="00895B32">
      <w:pPr>
        <w:rPr>
          <w:i/>
        </w:rPr>
      </w:pPr>
    </w:p>
    <w:p w14:paraId="1BC12903" w14:textId="77777777" w:rsidR="00895B32" w:rsidRDefault="00000000">
      <w:pPr>
        <w:pStyle w:val="Heading1"/>
        <w:ind w:right="600"/>
      </w:pPr>
      <w:bookmarkStart w:id="34" w:name="_sq9bmyqu09kg" w:colFirst="0" w:colLast="0"/>
      <w:bookmarkEnd w:id="34"/>
      <w:r>
        <w:t>References</w:t>
      </w:r>
    </w:p>
    <w:p w14:paraId="5C4F0678" w14:textId="77777777" w:rsidR="00895B32" w:rsidRDefault="00000000">
      <w:pPr>
        <w:widowControl w:val="0"/>
        <w:spacing w:before="220" w:after="220" w:line="240" w:lineRule="auto"/>
        <w:ind w:left="440"/>
      </w:pPr>
      <w:r>
        <w:t xml:space="preserve">1. </w:t>
      </w:r>
      <w:r>
        <w:tab/>
      </w:r>
      <w:hyperlink r:id="rId33">
        <w:r>
          <w:t>Amendola LM, Berg JS, Horowitz CR, Angelo F, Bensen JT, Biesecker BB, et al. The Clinical Sequencing Evidence-Generating Research Consortium: Integrating Genomic Sequencing in Diverse and Medically Underserved Populations. Am J Hum Genet. 2018;103: 319–327.</w:t>
        </w:r>
      </w:hyperlink>
    </w:p>
    <w:p w14:paraId="5EB81424" w14:textId="77777777" w:rsidR="00895B32" w:rsidRDefault="00000000">
      <w:pPr>
        <w:widowControl w:val="0"/>
        <w:spacing w:after="220" w:line="240" w:lineRule="auto"/>
        <w:ind w:left="440"/>
      </w:pPr>
      <w:r>
        <w:t xml:space="preserve">2. </w:t>
      </w:r>
      <w:r>
        <w:tab/>
      </w:r>
      <w:hyperlink r:id="rId34">
        <w:r>
          <w:t>Biesecker LG, Mullikin JC, Facio FM, Turner C, Cherukuri PF, Blakesley RW, et al. The ClinSeq Project: piloting large-scale genome sequencing for research in genomic medicine. Genome Res. 2009;19: 1665–1674.</w:t>
        </w:r>
      </w:hyperlink>
    </w:p>
    <w:p w14:paraId="56E98E28" w14:textId="77777777" w:rsidR="00895B32" w:rsidRDefault="00000000">
      <w:pPr>
        <w:widowControl w:val="0"/>
        <w:spacing w:after="220" w:line="240" w:lineRule="auto"/>
        <w:ind w:left="440"/>
      </w:pPr>
      <w:r>
        <w:t xml:space="preserve">3. </w:t>
      </w:r>
      <w:r>
        <w:tab/>
      </w:r>
      <w:hyperlink r:id="rId35">
        <w:r>
          <w:t>Lewis KL, Han PKJ, Hooker GW, Klein WMP, Biesecker LG, Biesecker BB. Characterizing Participants in the ClinSeq Genome Sequencing Cohort as Early Adopters of a New Health Technology. PLoS One. 2015;10: e0132690.</w:t>
        </w:r>
      </w:hyperlink>
    </w:p>
    <w:p w14:paraId="58FF6FA5" w14:textId="77777777" w:rsidR="00895B32" w:rsidRDefault="00000000">
      <w:pPr>
        <w:widowControl w:val="0"/>
        <w:spacing w:after="220" w:line="240" w:lineRule="auto"/>
        <w:ind w:left="440"/>
        <w:rPr>
          <w:color w:val="666666"/>
        </w:rPr>
      </w:pPr>
      <w:r>
        <w:t xml:space="preserve">4. </w:t>
      </w:r>
      <w:r>
        <w:tab/>
      </w:r>
      <w:hyperlink r:id="rId36">
        <w:r>
          <w:t xml:space="preserve">Mittendorf KF, Kauffman TL, Amendola LM, Anderson KP, Biesecker BB, Dorschner MO, et al. Cancer Health Assessments Reaching Many (CHARM): A clinical trial assessing a multimodal cancer genetics services delivery program and its impact on diverse </w:t>
        </w:r>
        <w:r>
          <w:lastRenderedPageBreak/>
          <w:t>populations. Contemp Clin Trials. 2021;106: 106432.</w:t>
        </w:r>
      </w:hyperlink>
    </w:p>
    <w:sectPr w:rsidR="00895B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B1B88"/>
    <w:multiLevelType w:val="multilevel"/>
    <w:tmpl w:val="C35A0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C97105"/>
    <w:multiLevelType w:val="multilevel"/>
    <w:tmpl w:val="4EC09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F33B2A"/>
    <w:multiLevelType w:val="multilevel"/>
    <w:tmpl w:val="F4806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9696447">
    <w:abstractNumId w:val="2"/>
  </w:num>
  <w:num w:numId="2" w16cid:durableId="1323585961">
    <w:abstractNumId w:val="1"/>
  </w:num>
  <w:num w:numId="3" w16cid:durableId="1005669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B32"/>
    <w:rsid w:val="00530F9F"/>
    <w:rsid w:val="00895B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59FC440"/>
  <w15:docId w15:val="{FAF6B81D-BF48-7A44-AFD4-EF0E387B9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linicaltrials.gov/ct2/show/NCT03842995" TargetMode="External"/><Relationship Id="rId18" Type="http://schemas.openxmlformats.org/officeDocument/2006/relationships/image" Target="media/image1.png"/><Relationship Id="rId26"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paperpile.com/b/70t1i7/EFjT" TargetMode="External"/><Relationship Id="rId7" Type="http://schemas.openxmlformats.org/officeDocument/2006/relationships/hyperlink" Target="https://clinicaltrials.gov/ct2/show/NCT03426878" TargetMode="External"/><Relationship Id="rId12" Type="http://schemas.openxmlformats.org/officeDocument/2006/relationships/hyperlink" Target="https://www.ncbi.nlm.nih.gov/projects/gap/cgi-bin/study.cgi?study_id=phs002324.v1.p1" TargetMode="External"/><Relationship Id="rId17" Type="http://schemas.openxmlformats.org/officeDocument/2006/relationships/hyperlink" Target="http://anvilproject.org/data" TargetMode="External"/><Relationship Id="rId25" Type="http://schemas.openxmlformats.org/officeDocument/2006/relationships/image" Target="media/image6.png"/><Relationship Id="rId33" Type="http://schemas.openxmlformats.org/officeDocument/2006/relationships/hyperlink" Target="http://paperpile.com/b/70t1i7/jyjD"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mc/articles/PMC4721915/" TargetMode="External"/><Relationship Id="rId20" Type="http://schemas.openxmlformats.org/officeDocument/2006/relationships/image" Target="media/image2.png"/><Relationship Id="rId29" Type="http://schemas.openxmlformats.org/officeDocument/2006/relationships/hyperlink" Target="https://paperpile.com/c/70t1i7/HhoA" TargetMode="External"/><Relationship Id="rId1" Type="http://schemas.openxmlformats.org/officeDocument/2006/relationships/numbering" Target="numbering.xml"/><Relationship Id="rId6" Type="http://schemas.openxmlformats.org/officeDocument/2006/relationships/hyperlink" Target="https://paperpile.com/c/70t1i7/jyjD" TargetMode="External"/><Relationship Id="rId11" Type="http://schemas.openxmlformats.org/officeDocument/2006/relationships/hyperlink" Target="https://nyckidseq.org" TargetMode="External"/><Relationship Id="rId24" Type="http://schemas.openxmlformats.org/officeDocument/2006/relationships/image" Target="media/image5.png"/><Relationship Id="rId32" Type="http://schemas.openxmlformats.org/officeDocument/2006/relationships/hyperlink" Target="https://paperpile.com/c/70t1i7/EFjT" TargetMode="External"/><Relationship Id="rId37" Type="http://schemas.openxmlformats.org/officeDocument/2006/relationships/fontTable" Target="fontTable.xml"/><Relationship Id="rId5" Type="http://schemas.openxmlformats.org/officeDocument/2006/relationships/hyperlink" Target="https://pubmed.ncbi.nlm.nih.gov/30193136/" TargetMode="External"/><Relationship Id="rId15" Type="http://schemas.openxmlformats.org/officeDocument/2006/relationships/hyperlink" Target="https://anvilproject.org/consortia/cser/resources" TargetMode="External"/><Relationship Id="rId23" Type="http://schemas.openxmlformats.org/officeDocument/2006/relationships/hyperlink" Target="https://anvil.terra.bio/" TargetMode="External"/><Relationship Id="rId28" Type="http://schemas.openxmlformats.org/officeDocument/2006/relationships/hyperlink" Target="https://anvilproject.org/consortia/cser/resources" TargetMode="External"/><Relationship Id="rId36" Type="http://schemas.openxmlformats.org/officeDocument/2006/relationships/hyperlink" Target="http://paperpile.com/b/70t1i7/E6qS" TargetMode="External"/><Relationship Id="rId10" Type="http://schemas.openxmlformats.org/officeDocument/2006/relationships/hyperlink" Target="https://clinicaltrials.gov/ct2/show/NCT03738098" TargetMode="External"/><Relationship Id="rId19" Type="http://schemas.openxmlformats.org/officeDocument/2006/relationships/hyperlink" Target="https://www.ncbi.nlm.nih.gov/gap/" TargetMode="External"/><Relationship Id="rId31" Type="http://schemas.openxmlformats.org/officeDocument/2006/relationships/hyperlink" Target="https://www.ncbi.nlm.nih.gov/pmc/articles/PMC2752125/" TargetMode="External"/><Relationship Id="rId4" Type="http://schemas.openxmlformats.org/officeDocument/2006/relationships/webSettings" Target="webSettings.xml"/><Relationship Id="rId9" Type="http://schemas.openxmlformats.org/officeDocument/2006/relationships/hyperlink" Target="https://clinicaltrials.gov/ct2/show/NCT03548779" TargetMode="External"/><Relationship Id="rId14" Type="http://schemas.openxmlformats.org/officeDocument/2006/relationships/hyperlink" Target="https://clinicaltrials.gov/ct2/show/NCT00410241" TargetMode="External"/><Relationship Id="rId22" Type="http://schemas.openxmlformats.org/officeDocument/2006/relationships/image" Target="media/image4.png"/><Relationship Id="rId27" Type="http://schemas.openxmlformats.org/officeDocument/2006/relationships/hyperlink" Target="https://paperpile.com/c/70t1i7/EFjT" TargetMode="External"/><Relationship Id="rId30" Type="http://schemas.openxmlformats.org/officeDocument/2006/relationships/hyperlink" Target="https://anvilproject.org/consortia/cser/resources" TargetMode="External"/><Relationship Id="rId35" Type="http://schemas.openxmlformats.org/officeDocument/2006/relationships/hyperlink" Target="http://paperpile.com/b/70t1i7/HhoA" TargetMode="External"/><Relationship Id="rId8" Type="http://schemas.openxmlformats.org/officeDocument/2006/relationships/hyperlink" Target="https://www.bcm.edu/academic-centers/medical-ethics-and-health-policy/research/ethical-legal-and-social-implications-elsi-geneticsgenomics/texas-kidscanse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7618</Words>
  <Characters>43423</Characters>
  <Application>Microsoft Office Word</Application>
  <DocSecurity>0</DocSecurity>
  <Lines>361</Lines>
  <Paragraphs>101</Paragraphs>
  <ScaleCrop>false</ScaleCrop>
  <Company/>
  <LinksUpToDate>false</LinksUpToDate>
  <CharactersWithSpaces>50940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Kathleen Muenzen</cp:lastModifiedBy>
  <cp:revision>2</cp:revision>
  <dcterms:created xsi:type="dcterms:W3CDTF">2023-07-11T20:33:00Z</dcterms:created>
  <dcterms:modified xsi:type="dcterms:W3CDTF">2023-07-11T20:34:00Z</dcterms:modified>
</cp:coreProperties>
</file>